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5FA3DC38" w14:textId="1F78960C" w:rsidR="004603B6" w:rsidRPr="001865F4" w:rsidRDefault="004603B6" w:rsidP="004603B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06 Sermaye Giderleri bütçesinin ilk açılan kısmı ile veri tabanlarının bir kısmının ödemeleri tamamlanmıştır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1865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865F4">
        <w:rPr>
          <w:rFonts w:ascii="Times New Roman" w:eastAsia="SimSun" w:hAnsi="Times New Roman" w:cs="Times New Roman"/>
          <w:sz w:val="24"/>
          <w:szCs w:val="24"/>
          <w:lang w:eastAsia="zh-CN"/>
        </w:rPr>
        <w:t>2025 Mart ayı içerisinde açılan bütçe ile yapılan harcamalara ilişkin tablo aşağıda sunulmuştur.</w:t>
      </w:r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2541"/>
        <w:gridCol w:w="1585"/>
        <w:gridCol w:w="1852"/>
        <w:gridCol w:w="1261"/>
      </w:tblGrid>
      <w:tr w:rsidR="004603B6" w:rsidRPr="00C55D80" w14:paraId="1707D733" w14:textId="77777777" w:rsidTr="00AB04DF">
        <w:trPr>
          <w:trHeight w:val="315"/>
        </w:trPr>
        <w:tc>
          <w:tcPr>
            <w:tcW w:w="1823" w:type="dxa"/>
            <w:noWrap/>
            <w:hideMark/>
          </w:tcPr>
          <w:p w14:paraId="2C444010" w14:textId="77777777" w:rsidR="004603B6" w:rsidRPr="00C55D80" w:rsidRDefault="004603B6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>Firma /</w:t>
            </w:r>
            <w:r w:rsidRPr="00C55D80">
              <w:rPr>
                <w:b/>
                <w:bCs/>
              </w:rPr>
              <w:t>Ödeme Türü</w:t>
            </w:r>
          </w:p>
        </w:tc>
        <w:tc>
          <w:tcPr>
            <w:tcW w:w="2541" w:type="dxa"/>
            <w:noWrap/>
            <w:hideMark/>
          </w:tcPr>
          <w:p w14:paraId="515A78FB" w14:textId="77777777" w:rsidR="004603B6" w:rsidRPr="00C55D80" w:rsidRDefault="004603B6" w:rsidP="00AB04DF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İşin Adı</w:t>
            </w:r>
          </w:p>
        </w:tc>
        <w:tc>
          <w:tcPr>
            <w:tcW w:w="1585" w:type="dxa"/>
            <w:noWrap/>
            <w:hideMark/>
          </w:tcPr>
          <w:p w14:paraId="16E026DA" w14:textId="77777777" w:rsidR="004603B6" w:rsidRPr="00C55D80" w:rsidRDefault="004603B6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>KDV Hariç   Net</w:t>
            </w:r>
            <w:r w:rsidRPr="00C55D80">
              <w:rPr>
                <w:b/>
                <w:bCs/>
              </w:rPr>
              <w:t xml:space="preserve"> Tutar</w:t>
            </w:r>
          </w:p>
        </w:tc>
        <w:tc>
          <w:tcPr>
            <w:tcW w:w="1852" w:type="dxa"/>
            <w:noWrap/>
            <w:hideMark/>
          </w:tcPr>
          <w:p w14:paraId="303F41BA" w14:textId="77777777" w:rsidR="004603B6" w:rsidRPr="00C55D80" w:rsidRDefault="004603B6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KDV Dahil       </w:t>
            </w:r>
            <w:r w:rsidRPr="00C55D80">
              <w:rPr>
                <w:b/>
                <w:bCs/>
              </w:rPr>
              <w:t>Brüt Tutar</w:t>
            </w:r>
          </w:p>
        </w:tc>
        <w:tc>
          <w:tcPr>
            <w:tcW w:w="1261" w:type="dxa"/>
            <w:noWrap/>
            <w:hideMark/>
          </w:tcPr>
          <w:p w14:paraId="05C94FD2" w14:textId="77777777" w:rsidR="004603B6" w:rsidRPr="00C55D80" w:rsidRDefault="004603B6" w:rsidP="00AB04DF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Tarih</w:t>
            </w:r>
          </w:p>
        </w:tc>
      </w:tr>
      <w:tr w:rsidR="004603B6" w:rsidRPr="00C55D80" w14:paraId="2D40F987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22D783F0" w14:textId="77777777" w:rsidR="004603B6" w:rsidRPr="00C55D80" w:rsidRDefault="004603B6" w:rsidP="00AB04DF">
            <w:r>
              <w:rPr>
                <w:b/>
              </w:rPr>
              <w:t>E</w:t>
            </w:r>
            <w:r w:rsidRPr="00C55D80">
              <w:rPr>
                <w:b/>
              </w:rPr>
              <w:t xml:space="preserve">mine </w:t>
            </w:r>
            <w:proofErr w:type="spellStart"/>
            <w:r w:rsidRPr="00C55D80">
              <w:rPr>
                <w:b/>
              </w:rPr>
              <w:t>Aksoyak</w:t>
            </w:r>
            <w:proofErr w:type="spellEnd"/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40ED61CF" w14:textId="77777777" w:rsidR="004603B6" w:rsidRPr="00C55D80" w:rsidRDefault="004603B6" w:rsidP="00AB04DF">
            <w:proofErr w:type="spellStart"/>
            <w:r w:rsidRPr="00C55D80">
              <w:t>Lehçediz</w:t>
            </w:r>
            <w:proofErr w:type="spellEnd"/>
            <w:r w:rsidRPr="00C55D80">
              <w:t xml:space="preserve"> Online Veri Tabanı Hizmeti 1 yıllık abonelik</w:t>
            </w:r>
          </w:p>
        </w:tc>
        <w:tc>
          <w:tcPr>
            <w:tcW w:w="1585" w:type="dxa"/>
            <w:noWrap/>
            <w:hideMark/>
          </w:tcPr>
          <w:p w14:paraId="6DCE10F2" w14:textId="77777777" w:rsidR="004603B6" w:rsidRPr="00C55D80" w:rsidRDefault="004603B6" w:rsidP="00AB04DF">
            <w:r w:rsidRPr="00C55D80">
              <w:t>₺27.263,00</w:t>
            </w:r>
          </w:p>
        </w:tc>
        <w:tc>
          <w:tcPr>
            <w:tcW w:w="1852" w:type="dxa"/>
            <w:noWrap/>
            <w:hideMark/>
          </w:tcPr>
          <w:p w14:paraId="156D1073" w14:textId="77777777" w:rsidR="004603B6" w:rsidRPr="00C55D80" w:rsidRDefault="004603B6" w:rsidP="00AB04DF">
            <w:r w:rsidRPr="00C55D80">
              <w:t>₺30.000,00</w:t>
            </w:r>
          </w:p>
        </w:tc>
        <w:tc>
          <w:tcPr>
            <w:tcW w:w="1261" w:type="dxa"/>
            <w:noWrap/>
            <w:hideMark/>
          </w:tcPr>
          <w:p w14:paraId="141CBB0F" w14:textId="77777777" w:rsidR="004603B6" w:rsidRPr="00C55D80" w:rsidRDefault="004603B6" w:rsidP="00AB04DF">
            <w:r w:rsidRPr="00C55D80">
              <w:t>14.03.2025</w:t>
            </w:r>
          </w:p>
        </w:tc>
      </w:tr>
      <w:tr w:rsidR="004603B6" w:rsidRPr="00C55D80" w14:paraId="7D63190A" w14:textId="77777777" w:rsidTr="00AB04DF">
        <w:trPr>
          <w:trHeight w:val="1260"/>
        </w:trPr>
        <w:tc>
          <w:tcPr>
            <w:tcW w:w="1823" w:type="dxa"/>
            <w:noWrap/>
            <w:hideMark/>
          </w:tcPr>
          <w:p w14:paraId="30B18A08" w14:textId="77777777" w:rsidR="004603B6" w:rsidRPr="00C55D80" w:rsidRDefault="004603B6" w:rsidP="00AB04DF">
            <w:r w:rsidRPr="00C55D80">
              <w:rPr>
                <w:b/>
              </w:rPr>
              <w:t>ASOS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26093484" w14:textId="77777777" w:rsidR="004603B6" w:rsidRPr="00C55D80" w:rsidRDefault="004603B6" w:rsidP="00AB04DF">
            <w:proofErr w:type="spellStart"/>
            <w:r w:rsidRPr="00C55D80">
              <w:t>Sobiad</w:t>
            </w:r>
            <w:proofErr w:type="spellEnd"/>
            <w:r w:rsidRPr="00C55D80">
              <w:t xml:space="preserve"> Atıf Dizini 2025, </w:t>
            </w:r>
            <w:proofErr w:type="spellStart"/>
            <w:r w:rsidRPr="00C55D80">
              <w:t>Bookcites</w:t>
            </w:r>
            <w:proofErr w:type="spellEnd"/>
            <w:r w:rsidRPr="00C55D80">
              <w:t xml:space="preserve"> Atıf Dizini 2025 ve Akademik TV Veri Tabanı 2025 yılı Abonelik Hizmeti</w:t>
            </w:r>
          </w:p>
        </w:tc>
        <w:tc>
          <w:tcPr>
            <w:tcW w:w="1585" w:type="dxa"/>
            <w:noWrap/>
            <w:hideMark/>
          </w:tcPr>
          <w:p w14:paraId="4A307D1A" w14:textId="77777777" w:rsidR="004603B6" w:rsidRPr="00C55D80" w:rsidRDefault="004603B6" w:rsidP="00AB04DF">
            <w:r w:rsidRPr="00C55D80">
              <w:t>₺167.321,61</w:t>
            </w:r>
          </w:p>
        </w:tc>
        <w:tc>
          <w:tcPr>
            <w:tcW w:w="1852" w:type="dxa"/>
            <w:noWrap/>
            <w:hideMark/>
          </w:tcPr>
          <w:p w14:paraId="413C1D6C" w14:textId="77777777" w:rsidR="004603B6" w:rsidRPr="00C55D80" w:rsidRDefault="004603B6" w:rsidP="00AB04DF">
            <w:r w:rsidRPr="00C55D80">
              <w:t>₺168.923,00</w:t>
            </w:r>
          </w:p>
        </w:tc>
        <w:tc>
          <w:tcPr>
            <w:tcW w:w="1261" w:type="dxa"/>
            <w:noWrap/>
            <w:hideMark/>
          </w:tcPr>
          <w:p w14:paraId="3A417CF2" w14:textId="77777777" w:rsidR="004603B6" w:rsidRPr="00C55D80" w:rsidRDefault="004603B6" w:rsidP="00AB04DF">
            <w:r w:rsidRPr="00C55D80">
              <w:t>14.03.2025</w:t>
            </w:r>
          </w:p>
        </w:tc>
      </w:tr>
      <w:tr w:rsidR="004603B6" w:rsidRPr="00C55D80" w14:paraId="49416105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5DC49FA0" w14:textId="77777777" w:rsidR="004603B6" w:rsidRPr="00C55D80" w:rsidRDefault="004603B6" w:rsidP="00AB04DF">
            <w:r w:rsidRPr="00C55D80">
              <w:rPr>
                <w:b/>
              </w:rPr>
              <w:t>Legal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5B2C94DD" w14:textId="77777777" w:rsidR="004603B6" w:rsidRPr="00C55D80" w:rsidRDefault="004603B6" w:rsidP="00AB04DF">
            <w:r w:rsidRPr="00C55D80">
              <w:t>Legal Online Veri Tabanı hizmeti alımı</w:t>
            </w:r>
          </w:p>
        </w:tc>
        <w:tc>
          <w:tcPr>
            <w:tcW w:w="1585" w:type="dxa"/>
            <w:noWrap/>
            <w:hideMark/>
          </w:tcPr>
          <w:p w14:paraId="5857D706" w14:textId="77777777" w:rsidR="004603B6" w:rsidRPr="00C55D80" w:rsidRDefault="004603B6" w:rsidP="00AB04DF">
            <w:r w:rsidRPr="00C55D80">
              <w:t>₺83.277,56</w:t>
            </w:r>
          </w:p>
        </w:tc>
        <w:tc>
          <w:tcPr>
            <w:tcW w:w="1852" w:type="dxa"/>
            <w:noWrap/>
            <w:hideMark/>
          </w:tcPr>
          <w:p w14:paraId="3CE0DADF" w14:textId="77777777" w:rsidR="004603B6" w:rsidRPr="00C55D80" w:rsidRDefault="004603B6" w:rsidP="00AB04DF">
            <w:r w:rsidRPr="00C55D80">
              <w:t>₺91.638,00</w:t>
            </w:r>
          </w:p>
        </w:tc>
        <w:tc>
          <w:tcPr>
            <w:tcW w:w="1261" w:type="dxa"/>
            <w:noWrap/>
            <w:hideMark/>
          </w:tcPr>
          <w:p w14:paraId="193960C0" w14:textId="77777777" w:rsidR="004603B6" w:rsidRPr="00C55D80" w:rsidRDefault="004603B6" w:rsidP="00AB04DF">
            <w:r w:rsidRPr="00C55D80">
              <w:t>13.03.2025</w:t>
            </w:r>
          </w:p>
        </w:tc>
      </w:tr>
      <w:tr w:rsidR="004603B6" w:rsidRPr="00C55D80" w14:paraId="02903F2E" w14:textId="77777777" w:rsidTr="00AB04DF">
        <w:trPr>
          <w:trHeight w:val="1575"/>
        </w:trPr>
        <w:tc>
          <w:tcPr>
            <w:tcW w:w="1823" w:type="dxa"/>
            <w:noWrap/>
            <w:hideMark/>
          </w:tcPr>
          <w:p w14:paraId="6C33CA4A" w14:textId="77777777" w:rsidR="004603B6" w:rsidRPr="00C55D80" w:rsidRDefault="004603B6" w:rsidP="00AB04DF">
            <w:r w:rsidRPr="00EB71D8">
              <w:rPr>
                <w:b/>
              </w:rPr>
              <w:t>İdeal Kültür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19E4720B" w14:textId="77777777" w:rsidR="004603B6" w:rsidRPr="00C55D80" w:rsidRDefault="004603B6" w:rsidP="00AB04DF">
            <w:proofErr w:type="spellStart"/>
            <w:r w:rsidRPr="00C55D80">
              <w:t>İdealOnline</w:t>
            </w:r>
            <w:proofErr w:type="spellEnd"/>
            <w:r w:rsidRPr="00C55D80">
              <w:t xml:space="preserve"> Süreli Yayın Elektronik veri tabanı, </w:t>
            </w:r>
            <w:proofErr w:type="spellStart"/>
            <w:r w:rsidRPr="00C55D80">
              <w:t>İdealOnline</w:t>
            </w:r>
            <w:proofErr w:type="spellEnd"/>
            <w:r w:rsidRPr="00C55D80">
              <w:t xml:space="preserve"> Din Bilimleri Veri Tabanı ve </w:t>
            </w:r>
            <w:proofErr w:type="spellStart"/>
            <w:r w:rsidRPr="00C55D80">
              <w:t>İdealOnline</w:t>
            </w:r>
            <w:proofErr w:type="spellEnd"/>
            <w:r w:rsidRPr="00C55D80">
              <w:t xml:space="preserve"> Tıp-Sağlık veri tabanı hizmet alımı</w:t>
            </w:r>
          </w:p>
        </w:tc>
        <w:tc>
          <w:tcPr>
            <w:tcW w:w="1585" w:type="dxa"/>
            <w:noWrap/>
            <w:hideMark/>
          </w:tcPr>
          <w:p w14:paraId="6BF7DEE5" w14:textId="77777777" w:rsidR="004603B6" w:rsidRPr="00C55D80" w:rsidRDefault="004603B6" w:rsidP="00AB04DF">
            <w:r w:rsidRPr="00C55D80">
              <w:t>₺291.692,29</w:t>
            </w:r>
          </w:p>
        </w:tc>
        <w:tc>
          <w:tcPr>
            <w:tcW w:w="1852" w:type="dxa"/>
            <w:noWrap/>
            <w:hideMark/>
          </w:tcPr>
          <w:p w14:paraId="1F2EDB4C" w14:textId="77777777" w:rsidR="004603B6" w:rsidRPr="00C55D80" w:rsidRDefault="004603B6" w:rsidP="00AB04DF">
            <w:r w:rsidRPr="00C55D80">
              <w:t>₺320.976,00</w:t>
            </w:r>
          </w:p>
        </w:tc>
        <w:tc>
          <w:tcPr>
            <w:tcW w:w="1261" w:type="dxa"/>
            <w:noWrap/>
            <w:hideMark/>
          </w:tcPr>
          <w:p w14:paraId="639FBFDC" w14:textId="77777777" w:rsidR="004603B6" w:rsidRPr="00C55D80" w:rsidRDefault="004603B6" w:rsidP="00AB04DF">
            <w:r w:rsidRPr="00C55D80">
              <w:t>13.03.2025</w:t>
            </w:r>
          </w:p>
        </w:tc>
      </w:tr>
      <w:tr w:rsidR="004603B6" w:rsidRPr="00C55D80" w14:paraId="303032F4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72D47C88" w14:textId="77777777" w:rsidR="004603B6" w:rsidRPr="00C55D80" w:rsidRDefault="004603B6" w:rsidP="00AB04DF">
            <w:proofErr w:type="spellStart"/>
            <w:r w:rsidRPr="00C55D80">
              <w:rPr>
                <w:b/>
              </w:rPr>
              <w:t>Oniki</w:t>
            </w:r>
            <w:proofErr w:type="spellEnd"/>
            <w:r w:rsidRPr="00C55D80">
              <w:rPr>
                <w:b/>
              </w:rPr>
              <w:t xml:space="preserve"> Levha Yayıncılık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5CBA6FC8" w14:textId="77777777" w:rsidR="004603B6" w:rsidRPr="00C55D80" w:rsidRDefault="004603B6" w:rsidP="00AB04DF">
            <w:proofErr w:type="spellStart"/>
            <w:r w:rsidRPr="00C55D80">
              <w:t>Lexpera</w:t>
            </w:r>
            <w:proofErr w:type="spellEnd"/>
            <w:r w:rsidRPr="00C55D80">
              <w:t xml:space="preserve"> </w:t>
            </w:r>
            <w:proofErr w:type="spellStart"/>
            <w:r w:rsidRPr="00C55D80">
              <w:t>Proplus</w:t>
            </w:r>
            <w:proofErr w:type="spellEnd"/>
            <w:r w:rsidRPr="00C55D80">
              <w:t xml:space="preserve"> Online Veri Tabanı aboneliği</w:t>
            </w:r>
          </w:p>
        </w:tc>
        <w:tc>
          <w:tcPr>
            <w:tcW w:w="1585" w:type="dxa"/>
            <w:noWrap/>
            <w:hideMark/>
          </w:tcPr>
          <w:p w14:paraId="775F3EAB" w14:textId="77777777" w:rsidR="004603B6" w:rsidRPr="00C55D80" w:rsidRDefault="004603B6" w:rsidP="00AB04DF">
            <w:r w:rsidRPr="00C55D80">
              <w:t>₺81.789,00</w:t>
            </w:r>
          </w:p>
        </w:tc>
        <w:tc>
          <w:tcPr>
            <w:tcW w:w="1852" w:type="dxa"/>
            <w:noWrap/>
            <w:hideMark/>
          </w:tcPr>
          <w:p w14:paraId="1BF41F5C" w14:textId="77777777" w:rsidR="004603B6" w:rsidRPr="00C55D80" w:rsidRDefault="004603B6" w:rsidP="00AB04DF">
            <w:r w:rsidRPr="00C55D80">
              <w:t>₺90.000,00</w:t>
            </w:r>
          </w:p>
        </w:tc>
        <w:tc>
          <w:tcPr>
            <w:tcW w:w="1261" w:type="dxa"/>
            <w:noWrap/>
            <w:hideMark/>
          </w:tcPr>
          <w:p w14:paraId="7F63BBFF" w14:textId="77777777" w:rsidR="004603B6" w:rsidRPr="00C55D80" w:rsidRDefault="004603B6" w:rsidP="00AB04DF">
            <w:r w:rsidRPr="00C55D80">
              <w:t>13.03.2025</w:t>
            </w:r>
          </w:p>
        </w:tc>
      </w:tr>
      <w:tr w:rsidR="004603B6" w:rsidRPr="00C55D80" w14:paraId="2FF44B16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441F844C" w14:textId="77777777" w:rsidR="004603B6" w:rsidRPr="00C55D80" w:rsidRDefault="004603B6" w:rsidP="00AB04DF">
            <w:proofErr w:type="spellStart"/>
            <w:r w:rsidRPr="00C55D80">
              <w:rPr>
                <w:b/>
              </w:rPr>
              <w:t>ProQuest</w:t>
            </w:r>
            <w:proofErr w:type="spellEnd"/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0823204B" w14:textId="77777777" w:rsidR="004603B6" w:rsidRPr="00C55D80" w:rsidRDefault="004603B6" w:rsidP="00AB04DF">
            <w:proofErr w:type="spellStart"/>
            <w:r w:rsidRPr="00C55D80">
              <w:t>ProQuest</w:t>
            </w:r>
            <w:proofErr w:type="spellEnd"/>
            <w:r w:rsidRPr="00C55D80">
              <w:t xml:space="preserve"> </w:t>
            </w:r>
            <w:proofErr w:type="spellStart"/>
            <w:r w:rsidRPr="00C55D80">
              <w:t>Ebook</w:t>
            </w:r>
            <w:proofErr w:type="spellEnd"/>
            <w:r w:rsidRPr="00C55D80">
              <w:t xml:space="preserve"> Central </w:t>
            </w:r>
            <w:proofErr w:type="spellStart"/>
            <w:r w:rsidRPr="00C55D80">
              <w:t>Academic</w:t>
            </w:r>
            <w:proofErr w:type="spellEnd"/>
            <w:r w:rsidRPr="00C55D80">
              <w:t xml:space="preserve"> Complete veri tabanı hizmeti alımı</w:t>
            </w:r>
          </w:p>
        </w:tc>
        <w:tc>
          <w:tcPr>
            <w:tcW w:w="1585" w:type="dxa"/>
            <w:noWrap/>
            <w:hideMark/>
          </w:tcPr>
          <w:p w14:paraId="469A9811" w14:textId="77777777" w:rsidR="004603B6" w:rsidRPr="00C55D80" w:rsidRDefault="004603B6" w:rsidP="00AB04DF">
            <w:r w:rsidRPr="00C55D80">
              <w:t>₺249.264,62</w:t>
            </w:r>
          </w:p>
        </w:tc>
        <w:tc>
          <w:tcPr>
            <w:tcW w:w="1852" w:type="dxa"/>
            <w:noWrap/>
            <w:hideMark/>
          </w:tcPr>
          <w:p w14:paraId="33C88E35" w14:textId="77777777" w:rsidR="004603B6" w:rsidRPr="00C55D80" w:rsidRDefault="004603B6" w:rsidP="00AB04DF">
            <w:r w:rsidRPr="00C55D80">
              <w:t>₺299.117,54</w:t>
            </w:r>
          </w:p>
        </w:tc>
        <w:tc>
          <w:tcPr>
            <w:tcW w:w="1261" w:type="dxa"/>
            <w:noWrap/>
            <w:hideMark/>
          </w:tcPr>
          <w:p w14:paraId="30044C6A" w14:textId="77777777" w:rsidR="004603B6" w:rsidRPr="00C55D80" w:rsidRDefault="004603B6" w:rsidP="00AB04DF">
            <w:r w:rsidRPr="00C55D80">
              <w:t>11.03.2025</w:t>
            </w:r>
          </w:p>
        </w:tc>
      </w:tr>
      <w:tr w:rsidR="004603B6" w:rsidRPr="00C55D80" w14:paraId="1B5C1D9A" w14:textId="77777777" w:rsidTr="00AB04DF">
        <w:trPr>
          <w:trHeight w:val="945"/>
        </w:trPr>
        <w:tc>
          <w:tcPr>
            <w:tcW w:w="1823" w:type="dxa"/>
            <w:noWrap/>
            <w:hideMark/>
          </w:tcPr>
          <w:p w14:paraId="49F156E5" w14:textId="77777777" w:rsidR="004603B6" w:rsidRPr="00C55D80" w:rsidRDefault="004603B6" w:rsidP="00AB04DF">
            <w:r w:rsidRPr="00C55D80">
              <w:rPr>
                <w:b/>
              </w:rPr>
              <w:t>SAGE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4A9F691B" w14:textId="77777777" w:rsidR="004603B6" w:rsidRPr="00C55D80" w:rsidRDefault="004603B6" w:rsidP="00AB04DF">
            <w:r w:rsidRPr="00C55D80">
              <w:t xml:space="preserve">PREM2025 </w:t>
            </w:r>
            <w:proofErr w:type="spellStart"/>
            <w:r w:rsidRPr="00C55D80">
              <w:t>Premier</w:t>
            </w:r>
            <w:proofErr w:type="spellEnd"/>
            <w:r w:rsidRPr="00C55D80">
              <w:t xml:space="preserve"> 2025 Elektronik dergi veri tabanı hizmeti alımı</w:t>
            </w:r>
          </w:p>
        </w:tc>
        <w:tc>
          <w:tcPr>
            <w:tcW w:w="1585" w:type="dxa"/>
            <w:noWrap/>
            <w:hideMark/>
          </w:tcPr>
          <w:p w14:paraId="60900972" w14:textId="77777777" w:rsidR="004603B6" w:rsidRPr="00C55D80" w:rsidRDefault="004603B6" w:rsidP="00AB04DF">
            <w:r w:rsidRPr="00C55D80">
              <w:t>₺389.324,50</w:t>
            </w:r>
          </w:p>
        </w:tc>
        <w:tc>
          <w:tcPr>
            <w:tcW w:w="1852" w:type="dxa"/>
            <w:noWrap/>
            <w:hideMark/>
          </w:tcPr>
          <w:p w14:paraId="10C7560D" w14:textId="77777777" w:rsidR="004603B6" w:rsidRPr="00C55D80" w:rsidRDefault="004603B6" w:rsidP="00AB04DF">
            <w:r w:rsidRPr="00C55D80">
              <w:t>₺467.189,40</w:t>
            </w:r>
          </w:p>
        </w:tc>
        <w:tc>
          <w:tcPr>
            <w:tcW w:w="1261" w:type="dxa"/>
            <w:noWrap/>
            <w:hideMark/>
          </w:tcPr>
          <w:p w14:paraId="4A3CD8F5" w14:textId="77777777" w:rsidR="004603B6" w:rsidRPr="00C55D80" w:rsidRDefault="004603B6" w:rsidP="00AB04DF">
            <w:r w:rsidRPr="00C55D80">
              <w:t>10.03.2025</w:t>
            </w:r>
          </w:p>
        </w:tc>
      </w:tr>
      <w:tr w:rsidR="004603B6" w:rsidRPr="00C55D80" w14:paraId="04AB5034" w14:textId="77777777" w:rsidTr="00AB04DF">
        <w:trPr>
          <w:trHeight w:val="1260"/>
        </w:trPr>
        <w:tc>
          <w:tcPr>
            <w:tcW w:w="1823" w:type="dxa"/>
            <w:noWrap/>
            <w:hideMark/>
          </w:tcPr>
          <w:p w14:paraId="37E85451" w14:textId="77777777" w:rsidR="004603B6" w:rsidRPr="00C55D80" w:rsidRDefault="004603B6" w:rsidP="00AB04DF">
            <w:r w:rsidRPr="00C55D80">
              <w:rPr>
                <w:b/>
              </w:rPr>
              <w:t>EBSCO</w:t>
            </w:r>
            <w:r>
              <w:t xml:space="preserve"> -</w:t>
            </w:r>
            <w:r w:rsidRPr="00C55D80">
              <w:t>Mal ve Hizmet Alımı</w:t>
            </w:r>
          </w:p>
        </w:tc>
        <w:tc>
          <w:tcPr>
            <w:tcW w:w="2541" w:type="dxa"/>
            <w:hideMark/>
          </w:tcPr>
          <w:p w14:paraId="66F78A2E" w14:textId="77777777" w:rsidR="004603B6" w:rsidRPr="00C55D80" w:rsidRDefault="004603B6" w:rsidP="00AB04DF">
            <w:proofErr w:type="spellStart"/>
            <w:r w:rsidRPr="00C55D80">
              <w:t>Hiperkitap</w:t>
            </w:r>
            <w:proofErr w:type="spellEnd"/>
            <w:r w:rsidRPr="00C55D80">
              <w:t xml:space="preserve">, </w:t>
            </w:r>
            <w:proofErr w:type="spellStart"/>
            <w:r w:rsidRPr="00C55D80">
              <w:t>Ebook</w:t>
            </w:r>
            <w:proofErr w:type="spellEnd"/>
            <w:r w:rsidRPr="00C55D80">
              <w:t xml:space="preserve"> Subscription </w:t>
            </w:r>
            <w:proofErr w:type="spellStart"/>
            <w:r w:rsidRPr="00C55D80">
              <w:t>Super</w:t>
            </w:r>
            <w:proofErr w:type="spellEnd"/>
            <w:r w:rsidRPr="00C55D80">
              <w:t xml:space="preserve"> Collection ve EBSCO </w:t>
            </w:r>
            <w:proofErr w:type="spellStart"/>
            <w:r w:rsidRPr="00C55D80">
              <w:t>Discovery</w:t>
            </w:r>
            <w:proofErr w:type="spellEnd"/>
            <w:r w:rsidRPr="00C55D80">
              <w:t xml:space="preserve"> Service (EDS) veri tabanlarının online sağlanması</w:t>
            </w:r>
          </w:p>
        </w:tc>
        <w:tc>
          <w:tcPr>
            <w:tcW w:w="1585" w:type="dxa"/>
            <w:noWrap/>
            <w:hideMark/>
          </w:tcPr>
          <w:p w14:paraId="417CEFFC" w14:textId="77777777" w:rsidR="004603B6" w:rsidRPr="00C55D80" w:rsidRDefault="004603B6" w:rsidP="00AB04DF">
            <w:r w:rsidRPr="00C55D80">
              <w:t>₺869.638,02</w:t>
            </w:r>
          </w:p>
        </w:tc>
        <w:tc>
          <w:tcPr>
            <w:tcW w:w="1852" w:type="dxa"/>
            <w:noWrap/>
            <w:hideMark/>
          </w:tcPr>
          <w:p w14:paraId="710F7840" w14:textId="77777777" w:rsidR="004603B6" w:rsidRPr="00C55D80" w:rsidRDefault="004603B6" w:rsidP="00AB04DF">
            <w:r w:rsidRPr="00C55D80">
              <w:t>₺956.943,24</w:t>
            </w:r>
          </w:p>
        </w:tc>
        <w:tc>
          <w:tcPr>
            <w:tcW w:w="1261" w:type="dxa"/>
            <w:noWrap/>
            <w:hideMark/>
          </w:tcPr>
          <w:p w14:paraId="79852A0E" w14:textId="77777777" w:rsidR="004603B6" w:rsidRPr="00C55D80" w:rsidRDefault="004603B6" w:rsidP="00AB04DF">
            <w:r w:rsidRPr="00C55D80">
              <w:t>6.03.2025</w:t>
            </w:r>
          </w:p>
        </w:tc>
      </w:tr>
      <w:tr w:rsidR="004603B6" w:rsidRPr="00C55D80" w14:paraId="60943E84" w14:textId="77777777" w:rsidTr="00AB04DF">
        <w:trPr>
          <w:trHeight w:val="315"/>
        </w:trPr>
        <w:tc>
          <w:tcPr>
            <w:tcW w:w="1823" w:type="dxa"/>
            <w:noWrap/>
            <w:hideMark/>
          </w:tcPr>
          <w:p w14:paraId="3B308AC5" w14:textId="77777777" w:rsidR="004603B6" w:rsidRPr="00B22AA1" w:rsidRDefault="004603B6" w:rsidP="00AB04DF">
            <w:pPr>
              <w:rPr>
                <w:b/>
                <w:sz w:val="20"/>
                <w:szCs w:val="20"/>
              </w:rPr>
            </w:pPr>
            <w:r w:rsidRPr="00B22AA1">
              <w:rPr>
                <w:b/>
                <w:sz w:val="20"/>
                <w:szCs w:val="20"/>
              </w:rPr>
              <w:t>TOPLAM ÖDENEN</w:t>
            </w:r>
          </w:p>
        </w:tc>
        <w:tc>
          <w:tcPr>
            <w:tcW w:w="2541" w:type="dxa"/>
            <w:noWrap/>
            <w:hideMark/>
          </w:tcPr>
          <w:p w14:paraId="50488407" w14:textId="77777777" w:rsidR="004603B6" w:rsidRPr="00C55D80" w:rsidRDefault="004603B6" w:rsidP="00AB04DF"/>
        </w:tc>
        <w:tc>
          <w:tcPr>
            <w:tcW w:w="1585" w:type="dxa"/>
            <w:noWrap/>
            <w:hideMark/>
          </w:tcPr>
          <w:p w14:paraId="08FDDFEE" w14:textId="77777777" w:rsidR="004603B6" w:rsidRPr="00C55D80" w:rsidRDefault="004603B6" w:rsidP="00AB04DF">
            <w:pPr>
              <w:rPr>
                <w:b/>
              </w:rPr>
            </w:pPr>
            <w:r w:rsidRPr="00C55D80">
              <w:rPr>
                <w:b/>
              </w:rPr>
              <w:t>₺2.159.570,60</w:t>
            </w:r>
          </w:p>
        </w:tc>
        <w:tc>
          <w:tcPr>
            <w:tcW w:w="1852" w:type="dxa"/>
            <w:noWrap/>
            <w:hideMark/>
          </w:tcPr>
          <w:p w14:paraId="0E8469B5" w14:textId="77777777" w:rsidR="004603B6" w:rsidRPr="00C55D80" w:rsidRDefault="004603B6" w:rsidP="00AB04DF">
            <w:pPr>
              <w:rPr>
                <w:b/>
              </w:rPr>
            </w:pPr>
            <w:r w:rsidRPr="00C55D80">
              <w:rPr>
                <w:b/>
              </w:rPr>
              <w:t>₺2.424.787,18</w:t>
            </w:r>
          </w:p>
        </w:tc>
        <w:tc>
          <w:tcPr>
            <w:tcW w:w="1261" w:type="dxa"/>
            <w:noWrap/>
            <w:hideMark/>
          </w:tcPr>
          <w:p w14:paraId="08D7F9BB" w14:textId="77777777" w:rsidR="004603B6" w:rsidRPr="00C55D80" w:rsidRDefault="004603B6" w:rsidP="00AB04DF">
            <w:r>
              <w:t>MART 2025</w:t>
            </w:r>
          </w:p>
        </w:tc>
      </w:tr>
    </w:tbl>
    <w:p w14:paraId="30C073E3" w14:textId="77777777" w:rsidR="004603B6" w:rsidRDefault="004603B6" w:rsidP="004603B6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0DD8EE" w14:textId="768DB23B" w:rsidR="00CA1CD7" w:rsidRDefault="00CA1CD7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94912677"/>
      <w:r>
        <w:rPr>
          <w:rFonts w:ascii="Times New Roman" w:eastAsia="SimSun" w:hAnsi="Times New Roman" w:cs="Times New Roman"/>
          <w:sz w:val="24"/>
          <w:szCs w:val="24"/>
          <w:lang w:eastAsia="zh-CN"/>
        </w:rPr>
        <w:t>Yayın alımının gerçekleştirilebilmesi için, Üniversitemizin tüm akademik birimlerine kitap isteklerinin Başkanlığımız otomasyon sistemine yüklenmesi için ÜBYS üzerinden talep yazısı gönderilmiştir</w:t>
      </w:r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14:paraId="27010174" w14:textId="07FA57FA" w:rsidR="004603B6" w:rsidRDefault="004603B6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Bağış kitap talebine uygun olarak depodan seçilen kitaplar, bağış talep edilen deprem bölgesine gönderilmiştir.</w:t>
      </w:r>
    </w:p>
    <w:p w14:paraId="18C8F2FF" w14:textId="1AE03940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0705430D" w14:textId="1E5639AF" w:rsidR="00CA1CD7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TÜBİTAK </w:t>
      </w:r>
      <w:r w:rsidR="00635A63">
        <w:rPr>
          <w:rFonts w:ascii="Times New Roman" w:eastAsia="SimSun" w:hAnsi="Times New Roman" w:cs="Times New Roman"/>
          <w:sz w:val="24"/>
          <w:szCs w:val="24"/>
          <w:lang w:eastAsia="zh-CN"/>
        </w:rPr>
        <w:t>iş birliği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  <w:r w:rsidR="00CA1C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1" w:name="_GoBack"/>
      <w:bookmarkEnd w:id="1"/>
    </w:p>
    <w:p w14:paraId="20D467CE" w14:textId="3AED8345" w:rsidR="00E641F5" w:rsidRDefault="00CC793E" w:rsidP="00CA1CD7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7" w:history="1">
        <w:r w:rsidR="00CA1CD7" w:rsidRPr="00CA1CD7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https://kutuphane.bandirma.edu.tr/tr/kutuphane/d/Tubitak-ULAKBIM---Springer-Nature-Acik-Erisim-Anlasmasi-WEBINAR-3-51310</w:t>
        </w:r>
      </w:hyperlink>
    </w:p>
    <w:p w14:paraId="52EAADDD" w14:textId="2846B988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C486F92" w14:textId="16E36010" w:rsidR="004603B6" w:rsidRDefault="00CA1CD7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Veri tabanı firmaları ile görüşmeler yapılarak, d</w:t>
      </w:r>
      <w:r w:rsidR="004603B6">
        <w:rPr>
          <w:rFonts w:ascii="Times New Roman" w:eastAsia="SimSun" w:hAnsi="Times New Roman" w:cs="Times New Roman"/>
          <w:sz w:val="24"/>
          <w:szCs w:val="24"/>
          <w:lang w:eastAsia="zh-CN"/>
        </w:rPr>
        <w:t>eneme erişime açılan veri tabanlarına ilişkin duyurular web sitesinde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yayınlanmıştır.</w:t>
      </w:r>
    </w:p>
    <w:p w14:paraId="2BE8FB50" w14:textId="280DDE1E" w:rsidR="00CA1CD7" w:rsidRDefault="00CC793E" w:rsidP="00CA1CD7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8" w:history="1">
        <w:r w:rsidR="00CA1CD7" w:rsidRPr="00CA1CD7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https://kutuphane.bandirma.edu.tr/tr/kutuphane/d/EBSCO-Veri-Tabanlari-Mayis-Sonuna-Kadar-Deneme-Erisime-Acilmistir-51581</w:t>
        </w:r>
      </w:hyperlink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539B041E" w14:textId="13005463" w:rsidR="00ED3F16" w:rsidRDefault="00C63313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Haftası sebebiyle, ilçemizdeki okul öncesi,</w:t>
      </w:r>
      <w:r w:rsidR="00ED3F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ilk ve orta öğretime bağlı okul öğrencileri tarafından kütüphanemize ziyaretler </w:t>
      </w:r>
      <w:r w:rsidR="000829A9">
        <w:rPr>
          <w:rFonts w:ascii="Times New Roman" w:eastAsia="SimSun" w:hAnsi="Times New Roman" w:cs="Times New Roman"/>
          <w:sz w:val="24"/>
          <w:szCs w:val="24"/>
          <w:lang w:eastAsia="zh-CN"/>
        </w:rPr>
        <w:t>gerçekleşmiştir.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7820D12F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4603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tamamlanmıştır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4FFDF14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</w:t>
      </w:r>
      <w:r w:rsidR="004603B6">
        <w:rPr>
          <w:rFonts w:ascii="Times New Roman" w:eastAsia="SimSun" w:hAnsi="Times New Roman" w:cs="Times New Roman"/>
          <w:sz w:val="24"/>
          <w:szCs w:val="24"/>
          <w:lang w:eastAsia="zh-CN"/>
        </w:rPr>
        <w:t>; CİMER yazıları en hızlı şekilde cevaplanarak Genel Sekreterliğe gönderilmiştir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10D2AE4" w14:textId="7CC38770" w:rsidR="00064A32" w:rsidRDefault="004603B6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BYS üzerinden Başkanlığımızla ilgili yazışmalar yapılmıştır.</w:t>
      </w:r>
    </w:p>
    <w:p w14:paraId="3EF11298" w14:textId="679F94AE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7017D311" w14:textId="77777777" w:rsidR="001865F4" w:rsidRDefault="001865F4" w:rsidP="001865F4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6913C81" w14:textId="77777777" w:rsidR="001865F4" w:rsidRPr="001865F4" w:rsidRDefault="001865F4" w:rsidP="001865F4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865F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2CCAE799" w14:textId="638ED71A" w:rsidR="001865F4" w:rsidRPr="001865F4" w:rsidRDefault="001865F4" w:rsidP="001865F4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Mart</w:t>
      </w:r>
      <w:r w:rsidRPr="001865F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1865F4" w:rsidRPr="005A6FA5" w14:paraId="3E6A6C49" w14:textId="77777777" w:rsidTr="00AB04DF">
        <w:tc>
          <w:tcPr>
            <w:tcW w:w="2284" w:type="dxa"/>
          </w:tcPr>
          <w:p w14:paraId="7F239E09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472CE16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1358DD90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5338A04C" w14:textId="77777777" w:rsidR="001865F4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1865F4" w:rsidRPr="005A6FA5" w14:paraId="78B6ABF1" w14:textId="77777777" w:rsidTr="00AB04DF">
        <w:tc>
          <w:tcPr>
            <w:tcW w:w="2284" w:type="dxa"/>
          </w:tcPr>
          <w:p w14:paraId="13C8FCD8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2098B985" w14:textId="756A1228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2262" w:type="dxa"/>
          </w:tcPr>
          <w:p w14:paraId="1E11EEFF" w14:textId="3A196DB9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2246" w:type="dxa"/>
          </w:tcPr>
          <w:p w14:paraId="310A71A6" w14:textId="1C631956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159</w:t>
            </w:r>
          </w:p>
        </w:tc>
      </w:tr>
      <w:tr w:rsidR="001865F4" w:rsidRPr="005A6FA5" w14:paraId="7348AF29" w14:textId="77777777" w:rsidTr="00AB04DF">
        <w:tc>
          <w:tcPr>
            <w:tcW w:w="2284" w:type="dxa"/>
          </w:tcPr>
          <w:p w14:paraId="12EF3710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7E2013AF" w14:textId="2C8F9E88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62" w:type="dxa"/>
          </w:tcPr>
          <w:p w14:paraId="2FA02D97" w14:textId="04500BC5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246" w:type="dxa"/>
          </w:tcPr>
          <w:p w14:paraId="2F01CE00" w14:textId="5A601EFD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</w:tr>
      <w:tr w:rsidR="001865F4" w:rsidRPr="005A6FA5" w14:paraId="0B9E9919" w14:textId="77777777" w:rsidTr="00AB04DF">
        <w:tc>
          <w:tcPr>
            <w:tcW w:w="2284" w:type="dxa"/>
          </w:tcPr>
          <w:p w14:paraId="4674BDF1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07A79EBF" w14:textId="2CAF49D6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62" w:type="dxa"/>
          </w:tcPr>
          <w:p w14:paraId="4481B0D8" w14:textId="0DE02982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46" w:type="dxa"/>
          </w:tcPr>
          <w:p w14:paraId="3E6A35CC" w14:textId="547A4D4A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1865F4" w:rsidRPr="005A6FA5" w14:paraId="749343C3" w14:textId="77777777" w:rsidTr="00AB04DF">
        <w:tc>
          <w:tcPr>
            <w:tcW w:w="2284" w:type="dxa"/>
          </w:tcPr>
          <w:p w14:paraId="5E63FA38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C8321A4" w14:textId="46D8D329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262" w:type="dxa"/>
          </w:tcPr>
          <w:p w14:paraId="0DAE6E9E" w14:textId="09B96B0D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2246" w:type="dxa"/>
          </w:tcPr>
          <w:p w14:paraId="77D6554C" w14:textId="14C43414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</w:tr>
      <w:tr w:rsidR="001865F4" w:rsidRPr="005A6FA5" w14:paraId="19F0E874" w14:textId="77777777" w:rsidTr="00AB04DF">
        <w:tc>
          <w:tcPr>
            <w:tcW w:w="2284" w:type="dxa"/>
          </w:tcPr>
          <w:p w14:paraId="509B731F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69C39A9" w14:textId="0D587A67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586</w:t>
            </w:r>
          </w:p>
        </w:tc>
        <w:tc>
          <w:tcPr>
            <w:tcW w:w="2262" w:type="dxa"/>
          </w:tcPr>
          <w:p w14:paraId="625CFA95" w14:textId="39569CC1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685</w:t>
            </w:r>
          </w:p>
        </w:tc>
        <w:tc>
          <w:tcPr>
            <w:tcW w:w="2246" w:type="dxa"/>
          </w:tcPr>
          <w:p w14:paraId="24061F71" w14:textId="0EBBB25D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1271</w:t>
            </w:r>
          </w:p>
        </w:tc>
      </w:tr>
      <w:tr w:rsidR="001865F4" w:rsidRPr="005A6FA5" w14:paraId="1A45C857" w14:textId="77777777" w:rsidTr="00AB04DF">
        <w:tc>
          <w:tcPr>
            <w:tcW w:w="2284" w:type="dxa"/>
          </w:tcPr>
          <w:p w14:paraId="4A1258AC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3CE0909B" w14:textId="62EA98ED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262" w:type="dxa"/>
          </w:tcPr>
          <w:p w14:paraId="0E186726" w14:textId="47F5C2B3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46" w:type="dxa"/>
          </w:tcPr>
          <w:p w14:paraId="5939D24D" w14:textId="5D22EDF4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</w:tr>
      <w:tr w:rsidR="001865F4" w:rsidRPr="005A6FA5" w14:paraId="6FBD9BBE" w14:textId="77777777" w:rsidTr="00AB04DF">
        <w:tc>
          <w:tcPr>
            <w:tcW w:w="2284" w:type="dxa"/>
          </w:tcPr>
          <w:p w14:paraId="02236875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236B027C" w14:textId="722279C4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5B4B0871" w14:textId="7C93248D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688FCD23" w14:textId="29CF5FF7" w:rsidR="001865F4" w:rsidRPr="00A1312E" w:rsidRDefault="00EB71D8" w:rsidP="00AB0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865F4" w:rsidRPr="005A6FA5" w14:paraId="0035E8F8" w14:textId="77777777" w:rsidTr="00AB04DF">
        <w:tc>
          <w:tcPr>
            <w:tcW w:w="2284" w:type="dxa"/>
          </w:tcPr>
          <w:p w14:paraId="580CB4AB" w14:textId="77777777" w:rsidR="001865F4" w:rsidRPr="005A6FA5" w:rsidRDefault="001865F4" w:rsidP="00AB04DF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7A7BECA5" w14:textId="5B60D3EE" w:rsidR="001865F4" w:rsidRPr="00A1312E" w:rsidRDefault="00EB71D8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778</w:t>
            </w:r>
          </w:p>
        </w:tc>
        <w:tc>
          <w:tcPr>
            <w:tcW w:w="2262" w:type="dxa"/>
          </w:tcPr>
          <w:p w14:paraId="7F325EB0" w14:textId="5390E34C" w:rsidR="001865F4" w:rsidRPr="00A1312E" w:rsidRDefault="00EB71D8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865</w:t>
            </w:r>
          </w:p>
        </w:tc>
        <w:tc>
          <w:tcPr>
            <w:tcW w:w="2246" w:type="dxa"/>
          </w:tcPr>
          <w:p w14:paraId="4A6783BE" w14:textId="2D4777E5" w:rsidR="001865F4" w:rsidRPr="00A1312E" w:rsidRDefault="00EB71D8" w:rsidP="00AB04D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1643</w:t>
            </w:r>
          </w:p>
        </w:tc>
      </w:tr>
    </w:tbl>
    <w:p w14:paraId="2F371683" w14:textId="77777777" w:rsidR="001865F4" w:rsidRPr="001865F4" w:rsidRDefault="001865F4" w:rsidP="001865F4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9C9B1A7" w14:textId="29B137D9" w:rsidR="001865F4" w:rsidRDefault="001865F4" w:rsidP="001865F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B8540E" w14:textId="507D56DB" w:rsidR="001865F4" w:rsidRDefault="001865F4" w:rsidP="001865F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3BC8B274" w:rsidR="000642CD" w:rsidRDefault="00410E00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2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Bütçe planlaması yapılarak, önümüzdeki aylarda ödemesi yapılacak veri tabanları belirlenmiştir</w:t>
      </w:r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End w:id="2"/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165C8B86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7615FCE" w14:textId="6DA550A7" w:rsidR="00EB71D8" w:rsidRDefault="00EB71D8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A140961" w14:textId="6DB8D209" w:rsidR="00EB71D8" w:rsidRDefault="00EB71D8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65E9097" w14:textId="54DDCB4B" w:rsidR="00EB71D8" w:rsidRDefault="00EB71D8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BCCDF4D" w14:textId="77777777" w:rsidR="00EB71D8" w:rsidRPr="00537604" w:rsidRDefault="00EB71D8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F5F14BB" w14:textId="607EDB26" w:rsidR="00694F51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 planlaması yapılarak, önümüzdeki aylarda ödemesi yapılacak veri tabanları belirlen</w:t>
      </w:r>
      <w:r w:rsid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miş olup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;</w:t>
      </w: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yapılacak ödemeler için </w:t>
      </w:r>
      <w:r w:rsid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bütçenin açılması beklenmektedir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47E300E5" w14:textId="77777777" w:rsidR="001865F4" w:rsidRPr="001865F4" w:rsidRDefault="001865F4" w:rsidP="001865F4">
      <w:pPr>
        <w:rPr>
          <w:rFonts w:ascii="Times New Roman" w:hAnsi="Times New Roman" w:cs="Times New Roman"/>
        </w:rPr>
      </w:pPr>
      <w:r w:rsidRPr="001865F4">
        <w:rPr>
          <w:rFonts w:ascii="Times New Roman" w:hAnsi="Times New Roman" w:cs="Times New Roman"/>
        </w:rPr>
        <w:t>2025 yılı bütçesi ile Ödemesi Gerçekleştirilecek Veri Tabanları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2539"/>
        <w:gridCol w:w="1585"/>
        <w:gridCol w:w="1852"/>
        <w:gridCol w:w="1261"/>
      </w:tblGrid>
      <w:tr w:rsidR="001865F4" w:rsidRPr="00C55D80" w14:paraId="2B6DC2AA" w14:textId="77777777" w:rsidTr="00AB04DF">
        <w:trPr>
          <w:trHeight w:val="315"/>
        </w:trPr>
        <w:tc>
          <w:tcPr>
            <w:tcW w:w="1823" w:type="dxa"/>
            <w:noWrap/>
            <w:hideMark/>
          </w:tcPr>
          <w:p w14:paraId="6AA62BA1" w14:textId="77777777" w:rsidR="001865F4" w:rsidRPr="00C55D80" w:rsidRDefault="001865F4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>Firma /</w:t>
            </w:r>
            <w:r w:rsidRPr="00C55D80">
              <w:rPr>
                <w:b/>
                <w:bCs/>
              </w:rPr>
              <w:t>Ödeme Türü</w:t>
            </w:r>
          </w:p>
        </w:tc>
        <w:tc>
          <w:tcPr>
            <w:tcW w:w="2539" w:type="dxa"/>
            <w:noWrap/>
            <w:hideMark/>
          </w:tcPr>
          <w:p w14:paraId="03E4A28C" w14:textId="77777777" w:rsidR="001865F4" w:rsidRPr="00C55D80" w:rsidRDefault="001865F4" w:rsidP="00AB04DF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İşin Adı</w:t>
            </w:r>
          </w:p>
        </w:tc>
        <w:tc>
          <w:tcPr>
            <w:tcW w:w="1585" w:type="dxa"/>
            <w:noWrap/>
            <w:hideMark/>
          </w:tcPr>
          <w:p w14:paraId="753C8D47" w14:textId="77777777" w:rsidR="001865F4" w:rsidRPr="00C55D80" w:rsidRDefault="001865F4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>KDV Hariç   Net</w:t>
            </w:r>
            <w:r w:rsidRPr="00C55D80">
              <w:rPr>
                <w:b/>
                <w:bCs/>
              </w:rPr>
              <w:t xml:space="preserve"> Tutar</w:t>
            </w:r>
          </w:p>
        </w:tc>
        <w:tc>
          <w:tcPr>
            <w:tcW w:w="1852" w:type="dxa"/>
            <w:noWrap/>
            <w:hideMark/>
          </w:tcPr>
          <w:p w14:paraId="2F04D461" w14:textId="77777777" w:rsidR="001865F4" w:rsidRPr="00C55D80" w:rsidRDefault="001865F4" w:rsidP="00AB0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KDV Dahil       </w:t>
            </w:r>
            <w:r w:rsidRPr="00C55D80">
              <w:rPr>
                <w:b/>
                <w:bCs/>
              </w:rPr>
              <w:t>Brüt Tutar</w:t>
            </w:r>
          </w:p>
        </w:tc>
        <w:tc>
          <w:tcPr>
            <w:tcW w:w="1261" w:type="dxa"/>
            <w:noWrap/>
            <w:hideMark/>
          </w:tcPr>
          <w:p w14:paraId="6754632E" w14:textId="77777777" w:rsidR="001865F4" w:rsidRPr="00C55D80" w:rsidRDefault="001865F4" w:rsidP="00AB04DF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Tarih</w:t>
            </w:r>
          </w:p>
        </w:tc>
      </w:tr>
      <w:tr w:rsidR="001865F4" w:rsidRPr="00C55D80" w14:paraId="5E7CAE1E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2CD1BD44" w14:textId="77777777" w:rsidR="001865F4" w:rsidRPr="00C55D80" w:rsidRDefault="001865F4" w:rsidP="00AB04DF">
            <w:r>
              <w:rPr>
                <w:b/>
              </w:rPr>
              <w:t>YORDAM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39" w:type="dxa"/>
            <w:hideMark/>
          </w:tcPr>
          <w:p w14:paraId="05569473" w14:textId="77777777" w:rsidR="001865F4" w:rsidRPr="00C55D80" w:rsidRDefault="001865F4" w:rsidP="00AB04DF">
            <w:r w:rsidRPr="00C55D80">
              <w:t xml:space="preserve">VETİS </w:t>
            </w:r>
            <w:proofErr w:type="spellStart"/>
            <w:r w:rsidRPr="00C55D80">
              <w:t>Veritabanlarına</w:t>
            </w:r>
            <w:proofErr w:type="spellEnd"/>
            <w:r w:rsidRPr="00C55D80">
              <w:t xml:space="preserve"> Kampüs Dışı Erişim ve İstatistik </w:t>
            </w:r>
            <w:proofErr w:type="spellStart"/>
            <w:r w:rsidRPr="00C55D80">
              <w:t>Veritabanı</w:t>
            </w:r>
            <w:proofErr w:type="spellEnd"/>
            <w:r w:rsidRPr="00C55D80">
              <w:t xml:space="preserve"> aboneliği</w:t>
            </w:r>
          </w:p>
        </w:tc>
        <w:tc>
          <w:tcPr>
            <w:tcW w:w="1585" w:type="dxa"/>
            <w:noWrap/>
            <w:hideMark/>
          </w:tcPr>
          <w:p w14:paraId="6589C2D6" w14:textId="77777777" w:rsidR="001865F4" w:rsidRPr="00C55D80" w:rsidRDefault="001865F4" w:rsidP="00AB04DF">
            <w:r w:rsidRPr="00C55D80">
              <w:t>₺</w:t>
            </w:r>
            <w:r>
              <w:t>500.000,00</w:t>
            </w:r>
          </w:p>
        </w:tc>
        <w:tc>
          <w:tcPr>
            <w:tcW w:w="1852" w:type="dxa"/>
            <w:noWrap/>
            <w:hideMark/>
          </w:tcPr>
          <w:p w14:paraId="71047B62" w14:textId="77777777" w:rsidR="001865F4" w:rsidRPr="00C55D80" w:rsidRDefault="001865F4" w:rsidP="00AB04DF">
            <w:r w:rsidRPr="00C55D80">
              <w:t>₺</w:t>
            </w:r>
            <w:r>
              <w:t>60</w:t>
            </w:r>
            <w:r w:rsidRPr="00C55D80">
              <w:t>0.000,00</w:t>
            </w:r>
          </w:p>
        </w:tc>
        <w:tc>
          <w:tcPr>
            <w:tcW w:w="1261" w:type="dxa"/>
            <w:noWrap/>
            <w:hideMark/>
          </w:tcPr>
          <w:p w14:paraId="53FE512B" w14:textId="77777777" w:rsidR="001865F4" w:rsidRPr="00C55D80" w:rsidRDefault="001865F4" w:rsidP="00AB04DF">
            <w:r>
              <w:t>Bütçe açıldığı zaman ödenecek</w:t>
            </w:r>
          </w:p>
        </w:tc>
      </w:tr>
      <w:tr w:rsidR="001865F4" w:rsidRPr="00C55D80" w14:paraId="434BA6A8" w14:textId="77777777" w:rsidTr="00AB04DF">
        <w:trPr>
          <w:trHeight w:val="630"/>
        </w:trPr>
        <w:tc>
          <w:tcPr>
            <w:tcW w:w="1823" w:type="dxa"/>
            <w:noWrap/>
            <w:hideMark/>
          </w:tcPr>
          <w:p w14:paraId="7030AA62" w14:textId="77777777" w:rsidR="001865F4" w:rsidRPr="00C55D80" w:rsidRDefault="001865F4" w:rsidP="00AB04DF">
            <w:proofErr w:type="spellStart"/>
            <w:r>
              <w:rPr>
                <w:b/>
              </w:rPr>
              <w:t>Hiras</w:t>
            </w:r>
            <w:proofErr w:type="spellEnd"/>
            <w:r>
              <w:rPr>
                <w:b/>
              </w:rPr>
              <w:t xml:space="preserve"> Yazılım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39" w:type="dxa"/>
            <w:hideMark/>
          </w:tcPr>
          <w:p w14:paraId="16056A9D" w14:textId="77777777" w:rsidR="001865F4" w:rsidRPr="00C55D80" w:rsidRDefault="001865F4" w:rsidP="00AB04DF">
            <w:r>
              <w:t>AYEUM Veri Tabanı 2025 yılı Abonelik Hizmeti</w:t>
            </w:r>
          </w:p>
        </w:tc>
        <w:tc>
          <w:tcPr>
            <w:tcW w:w="1585" w:type="dxa"/>
            <w:noWrap/>
            <w:hideMark/>
          </w:tcPr>
          <w:p w14:paraId="68D7C9FF" w14:textId="77777777" w:rsidR="001865F4" w:rsidRPr="00C55D80" w:rsidRDefault="001865F4" w:rsidP="00AB04DF">
            <w:r w:rsidRPr="00C55D80">
              <w:t>₺</w:t>
            </w:r>
            <w:r>
              <w:t>150.800,00</w:t>
            </w:r>
          </w:p>
        </w:tc>
        <w:tc>
          <w:tcPr>
            <w:tcW w:w="1852" w:type="dxa"/>
            <w:noWrap/>
            <w:hideMark/>
          </w:tcPr>
          <w:p w14:paraId="396D27FC" w14:textId="77777777" w:rsidR="001865F4" w:rsidRPr="00C55D80" w:rsidRDefault="001865F4" w:rsidP="00AB04DF">
            <w:r w:rsidRPr="00C55D80">
              <w:t>₺</w:t>
            </w:r>
            <w:r>
              <w:t>150.800,00</w:t>
            </w:r>
          </w:p>
        </w:tc>
        <w:tc>
          <w:tcPr>
            <w:tcW w:w="1261" w:type="dxa"/>
            <w:noWrap/>
            <w:hideMark/>
          </w:tcPr>
          <w:p w14:paraId="2BA3BB0D" w14:textId="77777777" w:rsidR="001865F4" w:rsidRPr="00C55D80" w:rsidRDefault="001865F4" w:rsidP="00AB04DF">
            <w:r>
              <w:t>Bütçe açıldığı zaman ödenecek</w:t>
            </w:r>
          </w:p>
        </w:tc>
      </w:tr>
      <w:tr w:rsidR="001865F4" w:rsidRPr="00C55D80" w14:paraId="54CFEE37" w14:textId="77777777" w:rsidTr="00AB04DF">
        <w:trPr>
          <w:trHeight w:val="630"/>
        </w:trPr>
        <w:tc>
          <w:tcPr>
            <w:tcW w:w="1823" w:type="dxa"/>
            <w:noWrap/>
          </w:tcPr>
          <w:p w14:paraId="48455911" w14:textId="77777777" w:rsidR="001865F4" w:rsidRDefault="001865F4" w:rsidP="00AB04DF">
            <w:pPr>
              <w:rPr>
                <w:b/>
              </w:rPr>
            </w:pPr>
            <w:r>
              <w:rPr>
                <w:b/>
              </w:rPr>
              <w:t xml:space="preserve">TOPLAM </w:t>
            </w:r>
          </w:p>
        </w:tc>
        <w:tc>
          <w:tcPr>
            <w:tcW w:w="2539" w:type="dxa"/>
          </w:tcPr>
          <w:p w14:paraId="2776B971" w14:textId="77777777" w:rsidR="001865F4" w:rsidRDefault="001865F4" w:rsidP="00AB04DF"/>
        </w:tc>
        <w:tc>
          <w:tcPr>
            <w:tcW w:w="1585" w:type="dxa"/>
            <w:noWrap/>
          </w:tcPr>
          <w:p w14:paraId="10B4FCD8" w14:textId="77777777" w:rsidR="001865F4" w:rsidRPr="00B22AA1" w:rsidRDefault="001865F4" w:rsidP="00AB04DF">
            <w:pPr>
              <w:rPr>
                <w:b/>
              </w:rPr>
            </w:pPr>
            <w:r w:rsidRPr="00B22AA1">
              <w:rPr>
                <w:b/>
              </w:rPr>
              <w:t>₺650.800,00</w:t>
            </w:r>
          </w:p>
        </w:tc>
        <w:tc>
          <w:tcPr>
            <w:tcW w:w="1852" w:type="dxa"/>
            <w:noWrap/>
          </w:tcPr>
          <w:p w14:paraId="0A54A750" w14:textId="77777777" w:rsidR="001865F4" w:rsidRPr="00B22AA1" w:rsidRDefault="001865F4" w:rsidP="00AB04DF">
            <w:pPr>
              <w:rPr>
                <w:b/>
              </w:rPr>
            </w:pPr>
            <w:r w:rsidRPr="00B22AA1">
              <w:rPr>
                <w:b/>
              </w:rPr>
              <w:t>₺750.800,00</w:t>
            </w:r>
          </w:p>
        </w:tc>
        <w:tc>
          <w:tcPr>
            <w:tcW w:w="1261" w:type="dxa"/>
            <w:noWrap/>
          </w:tcPr>
          <w:p w14:paraId="6CA36E6B" w14:textId="77777777" w:rsidR="001865F4" w:rsidRDefault="001865F4" w:rsidP="00AB04DF"/>
        </w:tc>
      </w:tr>
    </w:tbl>
    <w:p w14:paraId="47F28AD2" w14:textId="77777777" w:rsidR="001865F4" w:rsidRPr="0043101C" w:rsidRDefault="001865F4" w:rsidP="001865F4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C0A57FB" w14:textId="44DCDD49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Döviz ödemelerinin tamamlanması ile kalan bütçe doğrultusunda basılı yayın alımı için çalışmalar başlatıl</w:t>
      </w:r>
      <w:r w:rsid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mıştır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1865F4" w:rsidRP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Yayın alımının gerçekleştirilebilmesi için, Üniversitemizin tüm akademik birimlerine kitap isteklerinin Başkanlığımız otomasyon sistemine yüklenmesi için ÜBYS üzerinden talep yazısı gönderilmiştir</w:t>
      </w:r>
      <w:r w:rsid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89E4028" w14:textId="06F69E30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9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10"/>
      <w:footerReference w:type="default" r:id="rId11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A14D" w14:textId="77777777" w:rsidR="00CC793E" w:rsidRDefault="00CC793E" w:rsidP="00CB2E01">
      <w:pPr>
        <w:spacing w:after="0" w:line="240" w:lineRule="auto"/>
      </w:pPr>
      <w:r>
        <w:separator/>
      </w:r>
    </w:p>
  </w:endnote>
  <w:endnote w:type="continuationSeparator" w:id="0">
    <w:p w14:paraId="00250FB8" w14:textId="77777777" w:rsidR="00CC793E" w:rsidRDefault="00CC793E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51F76" w14:textId="77777777" w:rsidR="00CC793E" w:rsidRDefault="00CC793E" w:rsidP="00CB2E01">
      <w:pPr>
        <w:spacing w:after="0" w:line="240" w:lineRule="auto"/>
      </w:pPr>
      <w:r>
        <w:separator/>
      </w:r>
    </w:p>
  </w:footnote>
  <w:footnote w:type="continuationSeparator" w:id="0">
    <w:p w14:paraId="2139573A" w14:textId="77777777" w:rsidR="00CC793E" w:rsidRDefault="00CC793E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78DF0CE8" w:rsidR="00831EC3" w:rsidRDefault="00C6331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Mart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</w:t>
          </w:r>
          <w:r w:rsidR="001865F4">
            <w:rPr>
              <w:rFonts w:ascii="Times New Roman" w:hAnsi="Times New Roman" w:cs="Times New Roman"/>
              <w:b/>
              <w:sz w:val="24"/>
            </w:rPr>
            <w:t>5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642CD"/>
    <w:rsid w:val="00064A32"/>
    <w:rsid w:val="0007682E"/>
    <w:rsid w:val="000829A9"/>
    <w:rsid w:val="00094A12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865F4"/>
    <w:rsid w:val="00196039"/>
    <w:rsid w:val="001A4355"/>
    <w:rsid w:val="001B068C"/>
    <w:rsid w:val="001B6AF6"/>
    <w:rsid w:val="001F52E7"/>
    <w:rsid w:val="00206B52"/>
    <w:rsid w:val="00222BA9"/>
    <w:rsid w:val="0023110C"/>
    <w:rsid w:val="00251C32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603B6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35A63"/>
    <w:rsid w:val="006507C2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AF38B9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A1CD7"/>
    <w:rsid w:val="00CB1C86"/>
    <w:rsid w:val="00CB2E01"/>
    <w:rsid w:val="00CC793E"/>
    <w:rsid w:val="00CE061F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E0494D"/>
    <w:rsid w:val="00E13D24"/>
    <w:rsid w:val="00E21CDA"/>
    <w:rsid w:val="00E243C5"/>
    <w:rsid w:val="00E42312"/>
    <w:rsid w:val="00E641F5"/>
    <w:rsid w:val="00E72403"/>
    <w:rsid w:val="00E816D1"/>
    <w:rsid w:val="00EB71D8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phane.bandirma.edu.tr/tr/kutuphane/d/EBSCO-Veri-Tabanlari-Mayis-Sonuna-Kadar-Deneme-Erisime-Acilmistir-515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tuphane.bandirma.edu.tr/tr/kutuphane/d/Tubitak-ULAKBIM---Springer-Nature-Acik-Erisim-Anlasmasi-WEBINAR-3-513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elsekreterlik@bandirm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25</cp:revision>
  <cp:lastPrinted>2024-01-30T11:24:00Z</cp:lastPrinted>
  <dcterms:created xsi:type="dcterms:W3CDTF">2024-01-16T18:32:00Z</dcterms:created>
  <dcterms:modified xsi:type="dcterms:W3CDTF">2025-04-07T07:37:00Z</dcterms:modified>
</cp:coreProperties>
</file>