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5CA8C21" w14:textId="11B533FC" w:rsidR="009D34E1" w:rsidRDefault="009D34E1" w:rsidP="009D34E1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Ekim ayı içerisinde açılan IV. Dönem bütçesi ile </w:t>
      </w:r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AYEUM Veri Tabanı 2024 yılı Abonelik Hizmeti </w:t>
      </w:r>
      <w:proofErr w:type="spellStart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>Sobiad</w:t>
      </w:r>
      <w:proofErr w:type="spellEnd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Atıf Dizini 2024, </w:t>
      </w:r>
      <w:proofErr w:type="spellStart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>Bookcites</w:t>
      </w:r>
      <w:proofErr w:type="spellEnd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Atıf Dizini 2024 ve Akademik TV Veri Tabanı 2024 yılı Abonelik Hizmeti ve </w:t>
      </w:r>
      <w:proofErr w:type="spellStart"/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>İ</w:t>
      </w:r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>dealOnline</w:t>
      </w:r>
      <w:proofErr w:type="spellEnd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Süreli Yayın Elektronik veri tabanı, </w:t>
      </w:r>
      <w:proofErr w:type="spellStart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>İdealOnline</w:t>
      </w:r>
      <w:proofErr w:type="spellEnd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Din Bilimleri Veri Tabanı ve </w:t>
      </w:r>
      <w:proofErr w:type="spellStart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>İdealOnline</w:t>
      </w:r>
      <w:proofErr w:type="spellEnd"/>
      <w:r w:rsidRPr="009D34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Tıp-Sağlık veri tabanı ödemeleri gerçekleştiril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miştir.</w:t>
      </w:r>
    </w:p>
    <w:p w14:paraId="133EEE19" w14:textId="65460E18" w:rsidR="000D28CB" w:rsidRDefault="000D28CB" w:rsidP="000D28CB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proofErr w:type="spellStart"/>
      <w:r w:rsidR="00D75681">
        <w:rPr>
          <w:rFonts w:ascii="Times New Roman" w:eastAsia="SimSun" w:hAnsi="Times New Roman" w:cs="Times New Roman"/>
          <w:sz w:val="24"/>
          <w:szCs w:val="24"/>
          <w:lang w:eastAsia="zh-CN"/>
        </w:rPr>
        <w:t>İdealOnline</w:t>
      </w:r>
      <w:proofErr w:type="spellEnd"/>
      <w:r w:rsidR="00D756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Veri T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D75681">
        <w:rPr>
          <w:rFonts w:ascii="Times New Roman" w:eastAsia="SimSun" w:hAnsi="Times New Roman" w:cs="Times New Roman"/>
          <w:sz w:val="24"/>
          <w:szCs w:val="24"/>
          <w:lang w:eastAsia="zh-CN"/>
        </w:rPr>
        <w:t>banları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07/10/2024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62601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>86.000₺</w:t>
      </w:r>
    </w:p>
    <w:p w14:paraId="02EED1FB" w14:textId="51AD9CF5" w:rsidR="00D75681" w:rsidRDefault="00B645EA" w:rsidP="000D28CB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-ASOS Veri Tabanları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11/10/2024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105.050₺</w:t>
      </w:r>
    </w:p>
    <w:p w14:paraId="639B3D9F" w14:textId="07112BC3" w:rsidR="009D34E1" w:rsidRPr="009D34E1" w:rsidRDefault="009D34E1" w:rsidP="009D34E1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0D28CB">
        <w:rPr>
          <w:rFonts w:ascii="Times New Roman" w:eastAsia="SimSun" w:hAnsi="Times New Roman" w:cs="Times New Roman"/>
          <w:sz w:val="24"/>
          <w:szCs w:val="24"/>
          <w:lang w:eastAsia="zh-CN"/>
        </w:rPr>
        <w:t>AYEUM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21/10/2024</w:t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gramStart"/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86.</w:t>
      </w:r>
      <w:proofErr w:type="gramEnd"/>
      <w:r w:rsidR="00B645EA">
        <w:rPr>
          <w:rFonts w:ascii="Times New Roman" w:eastAsia="SimSun" w:hAnsi="Times New Roman" w:cs="Times New Roman"/>
          <w:sz w:val="24"/>
          <w:szCs w:val="24"/>
          <w:lang w:eastAsia="zh-CN"/>
        </w:rPr>
        <w:t>790₺</w:t>
      </w:r>
    </w:p>
    <w:p w14:paraId="070D6388" w14:textId="36539EB7" w:rsidR="00743237" w:rsidRDefault="00743237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Tasarruf tedbirleri kapsamında </w:t>
      </w:r>
      <w:proofErr w:type="gramStart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>Haziran</w:t>
      </w:r>
      <w:proofErr w:type="gramEnd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ayında başlatılan Elektronik Arşiv çalışmaları için Başkanlığımız tarafından, Üniversitemiz birimlerinde saklama koşulu taşıyan belgelerin belirlenmesine yönelik çalışmalar yürütülmektedir. İlgili diğer birimler ile koordineli çalışılmaktadır. </w:t>
      </w:r>
    </w:p>
    <w:p w14:paraId="42E45F4E" w14:textId="3DB9ACA6" w:rsidR="00743237" w:rsidRDefault="009B7384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17-18 Ekim 2024 tarihlerinde Pamukkale Üniversitesi ev sahipliğinde düzenlenen Adım Üniversiteleri Birliği Rektörler ve İdari Grup Toplantısın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Daire Başkanımız Barış YILDIRIM katılım sağlamıştır. Görüşmelerde alınan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karar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lardan birine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göre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2024-2025 eğitim öğretim yılı içerisindeki TÜB üyesi üniversite kütüphanelerinin tamamının erişiminin bulunduğu veri</w:t>
      </w:r>
      <w:r w:rsidR="003131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tabanları için ortak eğitimler düzenlenmesi kapsamında, 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25 Ekim 2024 Cuma ve 04 Kasım 2024 Pazartesi Saat 10:00'da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>“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Trakya Üniversiteler Birliği EBSCO Veri Tabanları Eğitimi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>”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gerçekleştiril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>mesi planlanmıştır. Konuya ilişkin duyurular öğretim üyelerine mail yoluyla ve web sayfamızdan tüm kullanıcılara duyurulmuştur.</w:t>
      </w:r>
    </w:p>
    <w:p w14:paraId="206C6D91" w14:textId="6AF0B7D0" w:rsidR="005D235B" w:rsidRDefault="003D0A39" w:rsidP="005D235B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7" w:history="1">
        <w:r w:rsidR="005D235B"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https://kutuphane.bandirma.edu.tr/tr/kutuphane/d/EBSCO-Veri-Tabanlari-Egitimi--38563</w:t>
        </w:r>
      </w:hyperlink>
    </w:p>
    <w:p w14:paraId="480D3779" w14:textId="225882C5" w:rsidR="005D235B" w:rsidRDefault="005D235B" w:rsidP="005D235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Veri tabanlarını tanıtım amacıyla Başkanlığımızı ziyaret eden firma yetkilileri görüşmeler yapılmış ve tanıtım yaptıkları veri tabanlarının deneme erişime açılması sağlanmıştır. Deneme erişime açılan veri tabanları web sayfamızdan duyurulmuştur.</w:t>
      </w:r>
    </w:p>
    <w:p w14:paraId="389D92BD" w14:textId="7A9F64E2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1-</w:t>
      </w:r>
      <w:hyperlink r:id="rId8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https://kutuphane.bandirma.edu.tr/tr/kutuphane/d/World-eBook-Library-e-book-veri-tabani-7-Kasim-2024-tarihine-kadar-deneme-erisime-acilmistir-38297</w:t>
        </w:r>
      </w:hyperlink>
    </w:p>
    <w:p w14:paraId="2B176EAE" w14:textId="71F7714C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2-</w:t>
      </w:r>
      <w:hyperlink r:id="rId9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https://kutuphane.bandirma.edu.tr/tr/kutuphane/d/UpToDate-Klinik-Karar-Destek-Sistemi-deneme-erisimi-7-Aralik-2024-tarihine-kadar-acilmistir-38316</w:t>
        </w:r>
      </w:hyperlink>
    </w:p>
    <w:p w14:paraId="766F6FA3" w14:textId="4E0941F3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3-</w:t>
      </w:r>
      <w:hyperlink r:id="rId10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https://kutuphane.bandirma.edu.tr/tr/kutuphane/d/Elsevier-ClinicalKey-6-Kasim-2024-tarihine-kadar-deneme-erisimine-acilmistir-38318</w:t>
        </w:r>
      </w:hyperlink>
    </w:p>
    <w:p w14:paraId="29463714" w14:textId="213DA32B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4-</w:t>
      </w:r>
      <w:hyperlink r:id="rId11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https://kutuphane.bandirma.edu.tr/tr/kutuphane/d/OSMOSIS---TipDis-Hekimligi-ve-Saglik-Bilimleri-Fakulteleri-icin-egitim-platformu-6-Kasim-2024-tarihine-kadar-deneme-erisimine-acilmistir-38322</w:t>
        </w:r>
      </w:hyperlink>
    </w:p>
    <w:p w14:paraId="0D308E7E" w14:textId="1FD913A7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5-</w:t>
      </w:r>
      <w:hyperlink r:id="rId12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https://kutuphane.bandirma.edu.tr/tr/kutuphane/d/Legaling-Hukuk-Terimleri-Veritabani-31122024-tarihine-kadar-Deneme-Erisimine-acilmistir-38324</w:t>
        </w:r>
      </w:hyperlink>
    </w:p>
    <w:p w14:paraId="1DCE99AB" w14:textId="4AEFBA54" w:rsidR="005D235B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6-</w:t>
      </w:r>
      <w:hyperlink r:id="rId13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https://kutuphane.bandirma.edu.tr/tr/kutuphane/d/AKAGEV-veri-tabani-8-Ekim-20-Kasim-tarihleri-arasinda-Deneme-Erisime-acilmistir--38333</w:t>
        </w:r>
      </w:hyperlink>
    </w:p>
    <w:p w14:paraId="63DFFCE7" w14:textId="45298218" w:rsidR="00E30643" w:rsidRDefault="00E30643" w:rsidP="005D235B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7-</w:t>
      </w:r>
      <w:hyperlink r:id="rId14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https://kutuphane.bandirma.edu.tr/tr/kutuphane/d/LibraryTurk-veri-tabani-8-Ekim-7-Aralik-tarihleri-arasinda-deneme-erisime-acilmistir-38337</w:t>
        </w:r>
      </w:hyperlink>
    </w:p>
    <w:p w14:paraId="31C5932E" w14:textId="37227FA6" w:rsidR="00504C2E" w:rsidRDefault="000C5EE9" w:rsidP="00504C2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</w:t>
      </w:r>
      <w:r w:rsid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e-devlet üzerinden verilen eğitimlere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katılımlar sağlanmıştır.</w:t>
      </w:r>
    </w:p>
    <w:p w14:paraId="4187DC3F" w14:textId="7F361D7B" w:rsidR="00A31B66" w:rsidRPr="00504C2E" w:rsidRDefault="00EA212F" w:rsidP="00504C2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Kütüphanemize gelen talep üzerine, </w:t>
      </w:r>
      <w:r w:rsidRPr="00EA212F">
        <w:rPr>
          <w:rFonts w:ascii="Times New Roman" w:eastAsia="SimSun" w:hAnsi="Times New Roman" w:cs="Times New Roman"/>
          <w:sz w:val="24"/>
          <w:szCs w:val="24"/>
          <w:lang w:eastAsia="zh-CN"/>
        </w:rPr>
        <w:t>Bandırma 1 No.lu T Tipi Kapalı Ceza İnfaz Kurumu Müdürlüğü'ne bağış olarak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273 adet kitap gönderilmiştir.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3ED9DA73" w14:textId="77777777" w:rsidR="00EB7E2D" w:rsidRDefault="00B47978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7978">
        <w:rPr>
          <w:rFonts w:ascii="Times New Roman" w:eastAsia="SimSun" w:hAnsi="Times New Roman" w:cs="Times New Roman"/>
          <w:sz w:val="24"/>
          <w:szCs w:val="24"/>
          <w:lang w:eastAsia="zh-CN"/>
        </w:rPr>
        <w:t>Akreditasyon çalışmaları kapsamında kütüphane kaynaklarına ilişkin talep edilen bilgiler, gerekli birimlerle paylaşılmıştır</w:t>
      </w:r>
      <w:r w:rsidR="00EB7E2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3745FE3" w14:textId="60E1507E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5DB46C53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Ayrıca BKYS sisteminde faaliyetlerin takibi sağlanmıştır.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22EBC895" w:rsidR="00064A32" w:rsidRDefault="00064A32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4D60D9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4D893D19" w14:textId="61EA685F" w:rsidR="00792947" w:rsidRPr="00792947" w:rsidRDefault="00504C2E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</w:t>
      </w:r>
      <w:r w:rsidR="00E306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kim</w:t>
      </w:r>
      <w:r w:rsidR="00792947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07203C" w:rsidRPr="005A6FA5" w14:paraId="785C8A3F" w14:textId="195234E4" w:rsidTr="0007203C">
        <w:tc>
          <w:tcPr>
            <w:tcW w:w="2284" w:type="dxa"/>
          </w:tcPr>
          <w:p w14:paraId="6FD371E9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DC5F873" w14:textId="2F3274B4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4ED9108B" w14:textId="318E4B93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C3C47B" w14:textId="479D6AE5" w:rsidR="0007203C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07203C" w:rsidRPr="005A6FA5" w14:paraId="2C983A79" w14:textId="4E555842" w:rsidTr="0007203C">
        <w:tc>
          <w:tcPr>
            <w:tcW w:w="2284" w:type="dxa"/>
          </w:tcPr>
          <w:p w14:paraId="1130865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0D9F0117" w14:textId="7AF60D75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2262" w:type="dxa"/>
          </w:tcPr>
          <w:p w14:paraId="27F99364" w14:textId="636E7296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2246" w:type="dxa"/>
          </w:tcPr>
          <w:p w14:paraId="3B27B0F3" w14:textId="60DC51FF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164</w:t>
            </w:r>
          </w:p>
        </w:tc>
      </w:tr>
      <w:tr w:rsidR="0007203C" w:rsidRPr="005A6FA5" w14:paraId="1D7C4286" w14:textId="7CBC2401" w:rsidTr="0007203C">
        <w:tc>
          <w:tcPr>
            <w:tcW w:w="2284" w:type="dxa"/>
          </w:tcPr>
          <w:p w14:paraId="6707F0F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6B36E93" w14:textId="48E4080C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2262" w:type="dxa"/>
          </w:tcPr>
          <w:p w14:paraId="1CA5BE25" w14:textId="5A113393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246" w:type="dxa"/>
          </w:tcPr>
          <w:p w14:paraId="58BE3060" w14:textId="095D8B9E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</w:t>
            </w:r>
          </w:p>
        </w:tc>
      </w:tr>
      <w:tr w:rsidR="0007203C" w:rsidRPr="005A6FA5" w14:paraId="794833BE" w14:textId="1352B004" w:rsidTr="0007203C">
        <w:tc>
          <w:tcPr>
            <w:tcW w:w="2284" w:type="dxa"/>
          </w:tcPr>
          <w:p w14:paraId="4310C12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74CFEBE2" w14:textId="648E9F2F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262" w:type="dxa"/>
          </w:tcPr>
          <w:p w14:paraId="679925B3" w14:textId="5FBE6F3F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46" w:type="dxa"/>
          </w:tcPr>
          <w:p w14:paraId="66373476" w14:textId="3B48214F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</w:tr>
      <w:tr w:rsidR="0007203C" w:rsidRPr="005A6FA5" w14:paraId="0EFB7E79" w14:textId="6EE476BE" w:rsidTr="0007203C">
        <w:tc>
          <w:tcPr>
            <w:tcW w:w="2284" w:type="dxa"/>
          </w:tcPr>
          <w:p w14:paraId="61F5F9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473AE67" w14:textId="283BB26C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2262" w:type="dxa"/>
          </w:tcPr>
          <w:p w14:paraId="54F67BE2" w14:textId="220D9AA5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2246" w:type="dxa"/>
          </w:tcPr>
          <w:p w14:paraId="4DAC5C18" w14:textId="549D8156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</w:tc>
      </w:tr>
      <w:tr w:rsidR="0007203C" w:rsidRPr="005A6FA5" w14:paraId="11E67A78" w14:textId="6855F555" w:rsidTr="0007203C">
        <w:tc>
          <w:tcPr>
            <w:tcW w:w="2284" w:type="dxa"/>
          </w:tcPr>
          <w:p w14:paraId="612F949D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9652EC3" w14:textId="264D2E49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1145</w:t>
            </w:r>
          </w:p>
        </w:tc>
        <w:tc>
          <w:tcPr>
            <w:tcW w:w="2262" w:type="dxa"/>
          </w:tcPr>
          <w:p w14:paraId="39BFE5FA" w14:textId="2284B73A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1030</w:t>
            </w:r>
          </w:p>
        </w:tc>
        <w:tc>
          <w:tcPr>
            <w:tcW w:w="2246" w:type="dxa"/>
          </w:tcPr>
          <w:p w14:paraId="44B1BE4E" w14:textId="0CE65D1B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2175</w:t>
            </w:r>
          </w:p>
        </w:tc>
      </w:tr>
      <w:tr w:rsidR="0007203C" w:rsidRPr="005A6FA5" w14:paraId="60FE653F" w14:textId="71DE9CE9" w:rsidTr="0007203C">
        <w:tc>
          <w:tcPr>
            <w:tcW w:w="2284" w:type="dxa"/>
          </w:tcPr>
          <w:p w14:paraId="51F50E7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1396A10" w14:textId="68F9F32F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262" w:type="dxa"/>
          </w:tcPr>
          <w:p w14:paraId="52A6B86F" w14:textId="418E7BAC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2246" w:type="dxa"/>
          </w:tcPr>
          <w:p w14:paraId="04368A0A" w14:textId="20F1A9CB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</w:t>
            </w:r>
          </w:p>
        </w:tc>
      </w:tr>
      <w:tr w:rsidR="0007203C" w:rsidRPr="005A6FA5" w14:paraId="1553BB1F" w14:textId="3B5A4A9F" w:rsidTr="0007203C">
        <w:tc>
          <w:tcPr>
            <w:tcW w:w="2284" w:type="dxa"/>
          </w:tcPr>
          <w:p w14:paraId="1A7F037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15B3F2ED" w14:textId="27900424" w:rsidR="0007203C" w:rsidRPr="000A0F55" w:rsidRDefault="00326D29" w:rsidP="005A6FA5">
            <w:pPr>
              <w:rPr>
                <w:rFonts w:ascii="Calibri" w:eastAsia="Calibri" w:hAnsi="Calibri" w:cs="Times New Roman"/>
              </w:rPr>
            </w:pPr>
            <w:r w:rsidRPr="000A0F55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337B1EA7" w14:textId="7EF27EF5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11ED76F4" w14:textId="7F429E4A" w:rsidR="0007203C" w:rsidRPr="000A0F55" w:rsidRDefault="000A0F5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07203C" w:rsidRPr="005A6FA5" w14:paraId="1057CCBF" w14:textId="5DF9232A" w:rsidTr="0007203C">
        <w:tc>
          <w:tcPr>
            <w:tcW w:w="2284" w:type="dxa"/>
          </w:tcPr>
          <w:p w14:paraId="483E4E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19588391" w14:textId="2D3DD6FD" w:rsidR="0007203C" w:rsidRPr="000A0F55" w:rsidRDefault="00326D29" w:rsidP="005A6FA5">
            <w:pPr>
              <w:rPr>
                <w:rFonts w:ascii="Calibri" w:eastAsia="Calibri" w:hAnsi="Calibri" w:cs="Times New Roman"/>
                <w:b/>
              </w:rPr>
            </w:pPr>
            <w:r w:rsidRPr="000A0F55">
              <w:rPr>
                <w:rFonts w:ascii="Calibri" w:eastAsia="Calibri" w:hAnsi="Calibri" w:cs="Times New Roman"/>
                <w:b/>
              </w:rPr>
              <w:t>1</w:t>
            </w:r>
            <w:r w:rsidR="000A0F55" w:rsidRPr="000A0F55">
              <w:rPr>
                <w:rFonts w:ascii="Calibri" w:eastAsia="Calibri" w:hAnsi="Calibri" w:cs="Times New Roman"/>
                <w:b/>
              </w:rPr>
              <w:t>401</w:t>
            </w:r>
          </w:p>
        </w:tc>
        <w:tc>
          <w:tcPr>
            <w:tcW w:w="2262" w:type="dxa"/>
          </w:tcPr>
          <w:p w14:paraId="73BC0D51" w14:textId="40359E9A" w:rsidR="0007203C" w:rsidRPr="000A0F55" w:rsidRDefault="000A0F55" w:rsidP="005A6FA5">
            <w:pPr>
              <w:rPr>
                <w:rFonts w:ascii="Calibri" w:eastAsia="Calibri" w:hAnsi="Calibri" w:cs="Times New Roman"/>
                <w:b/>
              </w:rPr>
            </w:pPr>
            <w:r w:rsidRPr="000A0F55">
              <w:rPr>
                <w:rFonts w:ascii="Calibri" w:eastAsia="Calibri" w:hAnsi="Calibri" w:cs="Times New Roman"/>
                <w:b/>
              </w:rPr>
              <w:t>1306</w:t>
            </w:r>
          </w:p>
        </w:tc>
        <w:tc>
          <w:tcPr>
            <w:tcW w:w="2246" w:type="dxa"/>
          </w:tcPr>
          <w:p w14:paraId="39C6E8C3" w14:textId="4840DA4A" w:rsidR="0007203C" w:rsidRPr="000A0F55" w:rsidRDefault="000A0F5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2707</w:t>
            </w:r>
          </w:p>
        </w:tc>
      </w:tr>
    </w:tbl>
    <w:p w14:paraId="4A7AC110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037CF980" w14:textId="21F6FA9C" w:rsidR="00CA4F63" w:rsidRDefault="00B4134D" w:rsidP="00E3064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Çalışmalarında ilgili birimler ile koordinasyon sağlayarak, işlerin yürütülmesine katkı sağlanacaktır.</w:t>
      </w:r>
      <w:bookmarkEnd w:id="0"/>
    </w:p>
    <w:p w14:paraId="1AF8FC07" w14:textId="1F1DAAF3" w:rsidR="00EB7E2D" w:rsidRPr="00EB7E2D" w:rsidRDefault="00EB7E2D" w:rsidP="00EB7E2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bütçesi dahilinde alınması planlanan basılı kitaplar için çalışmalar </w:t>
      </w:r>
      <w:r w:rsidR="004E680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sürmektedir</w:t>
      </w: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3DA57CC1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4EB02DB7" w14:textId="11F53D05" w:rsidR="00EB7E2D" w:rsidRPr="00EB7E2D" w:rsidRDefault="00E30643" w:rsidP="00EB7E2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3064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2025 bütçesi planlanarak, 2025 yılında devam edecek </w:t>
      </w:r>
      <w:r w:rsidR="00EB7E2D" w:rsidRPr="00E3064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ya da</w:t>
      </w:r>
      <w:r w:rsidRPr="00E3064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yeni abonelik yapılacak veri tabanları için çalışmalar yürütülecektir.</w:t>
      </w:r>
    </w:p>
    <w:p w14:paraId="58155CB9" w14:textId="2089604E" w:rsidR="00EB7E2D" w:rsidRPr="00EB7E2D" w:rsidRDefault="00EB7E2D" w:rsidP="00EB7E2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Aboneliği kesinleşen veri tabanı firmaları ile yapılacak sözleşmeler 31 </w:t>
      </w: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Aralık 2024 tarihine kadar tamamlanacaktır.</w:t>
      </w:r>
    </w:p>
    <w:p w14:paraId="33B41CAD" w14:textId="1FBCEDE5" w:rsidR="00541871" w:rsidRPr="00EB7E2D" w:rsidRDefault="00541871" w:rsidP="00EB7E2D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GoBack"/>
      <w:bookmarkEnd w:id="1"/>
    </w:p>
    <w:p w14:paraId="2DFF23E3" w14:textId="3010900F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6736C10" w14:textId="150568C6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9127EF" w14:textId="5AB5B18C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7692AC5" w14:textId="689A720C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8163631" w14:textId="5729A4A1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39DA27B" w14:textId="016F3B67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346957E" w14:textId="65E1C9A8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20210EE" w14:textId="445042FE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626DD85" w14:textId="2C0D0997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35AA45" w14:textId="77777777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10871753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15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16"/>
      <w:footerReference w:type="default" r:id="rId17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E7935" w14:textId="77777777" w:rsidR="003D0A39" w:rsidRDefault="003D0A39" w:rsidP="00CB2E01">
      <w:pPr>
        <w:spacing w:after="0" w:line="240" w:lineRule="auto"/>
      </w:pPr>
      <w:r>
        <w:separator/>
      </w:r>
    </w:p>
  </w:endnote>
  <w:endnote w:type="continuationSeparator" w:id="0">
    <w:p w14:paraId="14724FC1" w14:textId="77777777" w:rsidR="003D0A39" w:rsidRDefault="003D0A39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4DF7" w14:textId="77777777" w:rsidR="003D0A39" w:rsidRDefault="003D0A39" w:rsidP="00CB2E01">
      <w:pPr>
        <w:spacing w:after="0" w:line="240" w:lineRule="auto"/>
      </w:pPr>
      <w:r>
        <w:separator/>
      </w:r>
    </w:p>
  </w:footnote>
  <w:footnote w:type="continuationSeparator" w:id="0">
    <w:p w14:paraId="011072C9" w14:textId="77777777" w:rsidR="003D0A39" w:rsidRDefault="003D0A39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6E318922" w:rsidR="00831EC3" w:rsidRDefault="00504C2E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E</w:t>
          </w:r>
          <w:r w:rsidR="009D34E1">
            <w:rPr>
              <w:rFonts w:ascii="Times New Roman" w:hAnsi="Times New Roman" w:cs="Times New Roman"/>
              <w:b/>
              <w:sz w:val="24"/>
            </w:rPr>
            <w:t>kim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56D12"/>
    <w:multiLevelType w:val="hybridMultilevel"/>
    <w:tmpl w:val="0B3449A0"/>
    <w:lvl w:ilvl="0" w:tplc="0804DA3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56689"/>
    <w:rsid w:val="000642CD"/>
    <w:rsid w:val="00064A32"/>
    <w:rsid w:val="0007203C"/>
    <w:rsid w:val="0007682E"/>
    <w:rsid w:val="000829A9"/>
    <w:rsid w:val="00090422"/>
    <w:rsid w:val="000961C6"/>
    <w:rsid w:val="000A0F55"/>
    <w:rsid w:val="000A3B5D"/>
    <w:rsid w:val="000B3CEA"/>
    <w:rsid w:val="000C5EE9"/>
    <w:rsid w:val="000C6B19"/>
    <w:rsid w:val="000D28CB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73B41"/>
    <w:rsid w:val="0018120B"/>
    <w:rsid w:val="00183E77"/>
    <w:rsid w:val="00196039"/>
    <w:rsid w:val="001A4355"/>
    <w:rsid w:val="001B068C"/>
    <w:rsid w:val="001B6AF6"/>
    <w:rsid w:val="001E4FDE"/>
    <w:rsid w:val="001F52E7"/>
    <w:rsid w:val="00206B52"/>
    <w:rsid w:val="00230E55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13141"/>
    <w:rsid w:val="003263D0"/>
    <w:rsid w:val="00326D29"/>
    <w:rsid w:val="003274DF"/>
    <w:rsid w:val="003478E1"/>
    <w:rsid w:val="00352EFE"/>
    <w:rsid w:val="0035347B"/>
    <w:rsid w:val="00354685"/>
    <w:rsid w:val="00371EBA"/>
    <w:rsid w:val="00377079"/>
    <w:rsid w:val="00396DC8"/>
    <w:rsid w:val="003A0B92"/>
    <w:rsid w:val="003A4FB8"/>
    <w:rsid w:val="003B4FAF"/>
    <w:rsid w:val="003C0A03"/>
    <w:rsid w:val="003C6A93"/>
    <w:rsid w:val="003D0A39"/>
    <w:rsid w:val="003D6CFC"/>
    <w:rsid w:val="004070F6"/>
    <w:rsid w:val="00410E00"/>
    <w:rsid w:val="0043101C"/>
    <w:rsid w:val="00442A74"/>
    <w:rsid w:val="00447D55"/>
    <w:rsid w:val="00454723"/>
    <w:rsid w:val="00472E54"/>
    <w:rsid w:val="00474441"/>
    <w:rsid w:val="0047532F"/>
    <w:rsid w:val="00497C47"/>
    <w:rsid w:val="004A6539"/>
    <w:rsid w:val="004C0D7D"/>
    <w:rsid w:val="004C2A91"/>
    <w:rsid w:val="004D031F"/>
    <w:rsid w:val="004E680E"/>
    <w:rsid w:val="004F245E"/>
    <w:rsid w:val="00504C2E"/>
    <w:rsid w:val="0051281C"/>
    <w:rsid w:val="005336FE"/>
    <w:rsid w:val="00534300"/>
    <w:rsid w:val="00537604"/>
    <w:rsid w:val="005401BA"/>
    <w:rsid w:val="00541871"/>
    <w:rsid w:val="00542E20"/>
    <w:rsid w:val="005568E7"/>
    <w:rsid w:val="00556AD0"/>
    <w:rsid w:val="00564409"/>
    <w:rsid w:val="00570EA2"/>
    <w:rsid w:val="00572116"/>
    <w:rsid w:val="005A5B75"/>
    <w:rsid w:val="005A6FA5"/>
    <w:rsid w:val="005B3E37"/>
    <w:rsid w:val="005D0D5E"/>
    <w:rsid w:val="005D235B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17F3"/>
    <w:rsid w:val="00694517"/>
    <w:rsid w:val="00694F51"/>
    <w:rsid w:val="006A65F4"/>
    <w:rsid w:val="006B4F36"/>
    <w:rsid w:val="006C4804"/>
    <w:rsid w:val="006C6651"/>
    <w:rsid w:val="006D6ED1"/>
    <w:rsid w:val="006F2C5E"/>
    <w:rsid w:val="00700426"/>
    <w:rsid w:val="00701F5A"/>
    <w:rsid w:val="00703A4A"/>
    <w:rsid w:val="007052F3"/>
    <w:rsid w:val="007147BB"/>
    <w:rsid w:val="00725030"/>
    <w:rsid w:val="00733864"/>
    <w:rsid w:val="00735903"/>
    <w:rsid w:val="0073754D"/>
    <w:rsid w:val="00743237"/>
    <w:rsid w:val="00750045"/>
    <w:rsid w:val="007730CF"/>
    <w:rsid w:val="00792947"/>
    <w:rsid w:val="007A1934"/>
    <w:rsid w:val="007D1EFA"/>
    <w:rsid w:val="007D54E3"/>
    <w:rsid w:val="007E380A"/>
    <w:rsid w:val="00815270"/>
    <w:rsid w:val="00826992"/>
    <w:rsid w:val="00831EC3"/>
    <w:rsid w:val="00845FC5"/>
    <w:rsid w:val="00850AEC"/>
    <w:rsid w:val="00862601"/>
    <w:rsid w:val="00865D25"/>
    <w:rsid w:val="008877EF"/>
    <w:rsid w:val="00894190"/>
    <w:rsid w:val="0091786D"/>
    <w:rsid w:val="00922E87"/>
    <w:rsid w:val="0094737A"/>
    <w:rsid w:val="009478F6"/>
    <w:rsid w:val="00952E26"/>
    <w:rsid w:val="00961F61"/>
    <w:rsid w:val="00963A67"/>
    <w:rsid w:val="00975AFE"/>
    <w:rsid w:val="00981824"/>
    <w:rsid w:val="009A6621"/>
    <w:rsid w:val="009B5F1A"/>
    <w:rsid w:val="009B7384"/>
    <w:rsid w:val="009D34E1"/>
    <w:rsid w:val="009F4DD2"/>
    <w:rsid w:val="00A15E1D"/>
    <w:rsid w:val="00A17385"/>
    <w:rsid w:val="00A23C50"/>
    <w:rsid w:val="00A302E7"/>
    <w:rsid w:val="00A31B66"/>
    <w:rsid w:val="00A42D2F"/>
    <w:rsid w:val="00A56BAB"/>
    <w:rsid w:val="00A63999"/>
    <w:rsid w:val="00A71482"/>
    <w:rsid w:val="00A801E6"/>
    <w:rsid w:val="00A97009"/>
    <w:rsid w:val="00AA004E"/>
    <w:rsid w:val="00AC345F"/>
    <w:rsid w:val="00AD6B7A"/>
    <w:rsid w:val="00AF6738"/>
    <w:rsid w:val="00B02595"/>
    <w:rsid w:val="00B03EDE"/>
    <w:rsid w:val="00B10419"/>
    <w:rsid w:val="00B104EA"/>
    <w:rsid w:val="00B4134D"/>
    <w:rsid w:val="00B47978"/>
    <w:rsid w:val="00B64222"/>
    <w:rsid w:val="00B645EA"/>
    <w:rsid w:val="00B74EFB"/>
    <w:rsid w:val="00B757C3"/>
    <w:rsid w:val="00BB38EC"/>
    <w:rsid w:val="00BB438F"/>
    <w:rsid w:val="00BB63A5"/>
    <w:rsid w:val="00BF2A61"/>
    <w:rsid w:val="00C2584A"/>
    <w:rsid w:val="00C448F6"/>
    <w:rsid w:val="00C63313"/>
    <w:rsid w:val="00C6470C"/>
    <w:rsid w:val="00C64B3E"/>
    <w:rsid w:val="00C846A1"/>
    <w:rsid w:val="00C85ADD"/>
    <w:rsid w:val="00CA4F63"/>
    <w:rsid w:val="00CB1C86"/>
    <w:rsid w:val="00CB2E01"/>
    <w:rsid w:val="00CE061F"/>
    <w:rsid w:val="00D01AC4"/>
    <w:rsid w:val="00D31376"/>
    <w:rsid w:val="00D342E3"/>
    <w:rsid w:val="00D45900"/>
    <w:rsid w:val="00D56A08"/>
    <w:rsid w:val="00D644E6"/>
    <w:rsid w:val="00D668BF"/>
    <w:rsid w:val="00D70C46"/>
    <w:rsid w:val="00D75681"/>
    <w:rsid w:val="00D8120E"/>
    <w:rsid w:val="00D93271"/>
    <w:rsid w:val="00DB4773"/>
    <w:rsid w:val="00DC7754"/>
    <w:rsid w:val="00DE0907"/>
    <w:rsid w:val="00DE3D90"/>
    <w:rsid w:val="00E00AB1"/>
    <w:rsid w:val="00E0494D"/>
    <w:rsid w:val="00E13D24"/>
    <w:rsid w:val="00E21CDA"/>
    <w:rsid w:val="00E243C5"/>
    <w:rsid w:val="00E30643"/>
    <w:rsid w:val="00E42312"/>
    <w:rsid w:val="00E641F5"/>
    <w:rsid w:val="00E72403"/>
    <w:rsid w:val="00E816D1"/>
    <w:rsid w:val="00E917A3"/>
    <w:rsid w:val="00EA212F"/>
    <w:rsid w:val="00EB7979"/>
    <w:rsid w:val="00EB7E2D"/>
    <w:rsid w:val="00ED3F16"/>
    <w:rsid w:val="00ED79B9"/>
    <w:rsid w:val="00EF7D68"/>
    <w:rsid w:val="00F00385"/>
    <w:rsid w:val="00F3796C"/>
    <w:rsid w:val="00F423C4"/>
    <w:rsid w:val="00F5164D"/>
    <w:rsid w:val="00F73356"/>
    <w:rsid w:val="00F74F4A"/>
    <w:rsid w:val="00F77C13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phane.bandirma.edu.tr/tr/kutuphane/d/World-eBook-Library-e-book-veri-tabani-7-Kasim-2024-tarihine-kadar-deneme-erisime-acilmistir-38297" TargetMode="External"/><Relationship Id="rId13" Type="http://schemas.openxmlformats.org/officeDocument/2006/relationships/hyperlink" Target="https://kutuphane.bandirma.edu.tr/tr/kutuphane/d/AKAGEV-veri-tabani-8-Ekim-20-Kasim-tarihleri-arasinda-Deneme-Erisime-acilmistir--383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tuphane.bandirma.edu.tr/tr/kutuphane/d/EBSCO-Veri-Tabanlari-Egitimi--38563" TargetMode="External"/><Relationship Id="rId12" Type="http://schemas.openxmlformats.org/officeDocument/2006/relationships/hyperlink" Target="https://kutuphane.bandirma.edu.tr/tr/kutuphane/d/Legaling-Hukuk-Terimleri-Veritabani-31122024-tarihine-kadar-Deneme-Erisimine-acilmistir-3832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tuphane.bandirma.edu.tr/tr/kutuphane/d/OSMOSIS---TipDis-Hekimligi-ve-Saglik-Bilimleri-Fakulteleri-icin-egitim-platformu-6-Kasim-2024-tarihine-kadar-deneme-erisimine-acilmistir-3832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nelsekreterlik@bandirma.edu.tr" TargetMode="External"/><Relationship Id="rId10" Type="http://schemas.openxmlformats.org/officeDocument/2006/relationships/hyperlink" Target="https://kutuphane.bandirma.edu.tr/tr/kutuphane/d/Elsevier-ClinicalKey-6-Kasim-2024-tarihine-kadar-deneme-erisimine-acilmistir-383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tuphane.bandirma.edu.tr/tr/kutuphane/d/UpToDate-Klinik-Karar-Destek-Sistemi-deneme-erisimi-7-Aralik-2024-tarihine-kadar-acilmistir-38316" TargetMode="External"/><Relationship Id="rId14" Type="http://schemas.openxmlformats.org/officeDocument/2006/relationships/hyperlink" Target="https://kutuphane.bandirma.edu.tr/tr/kutuphane/d/LibraryTurk-veri-tabani-8-Ekim-7-Aralik-tarihleri-arasinda-deneme-erisime-acilmistir-383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51</cp:revision>
  <cp:lastPrinted>2024-01-30T11:24:00Z</cp:lastPrinted>
  <dcterms:created xsi:type="dcterms:W3CDTF">2024-01-16T18:32:00Z</dcterms:created>
  <dcterms:modified xsi:type="dcterms:W3CDTF">2024-11-01T07:01:00Z</dcterms:modified>
</cp:coreProperties>
</file>