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 xml:space="preserve">TÜBİTAK ULAKBİM – </w:t>
      </w:r>
      <w:proofErr w:type="spellStart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Springer</w:t>
      </w:r>
      <w:proofErr w:type="spellEnd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 xml:space="preserve"> Nature Açık Erişim Anlaşmamız Tekrar </w:t>
      </w:r>
      <w:proofErr w:type="gramStart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Aktif !</w:t>
      </w:r>
      <w:proofErr w:type="gramEnd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</w:t>
      </w:r>
      <w:r w:rsidRPr="008523E9">
        <w:rPr>
          <w:rFonts w:ascii="Arial" w:eastAsia="Times New Roman" w:hAnsi="Arial" w:cs="Arial"/>
          <w:noProof/>
          <w:color w:val="1F3864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630A1032" wp14:editId="7FB8C3DE">
            <wp:extent cx="685800" cy="685800"/>
            <wp:effectExtent l="0" t="0" r="0" b="0"/>
            <wp:docPr id="33" name="Resim 33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  <w:t xml:space="preserve">Araştırmacılarınızın </w:t>
      </w:r>
      <w:proofErr w:type="spellStart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Springer</w:t>
      </w:r>
      <w:proofErr w:type="spellEnd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Hibrit</w:t>
      </w:r>
      <w:proofErr w:type="spellEnd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 xml:space="preserve"> Dergilerinde 'ücretsiz' bir şekilde açık erişim yayın yapabileceği anlaşmamız 2. Dönemi ile </w:t>
      </w:r>
      <w:r w:rsidRPr="008523E9">
        <w:rPr>
          <w:rFonts w:ascii="Arial" w:eastAsia="Times New Roman" w:hAnsi="Arial" w:cs="Arial"/>
          <w:color w:val="336699"/>
          <w:sz w:val="21"/>
          <w:szCs w:val="21"/>
          <w:shd w:val="clear" w:color="auto" w:fill="FFFFFF"/>
          <w:lang w:eastAsia="tr-TR"/>
        </w:rPr>
        <w:t>1 Ocak 2025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tarihi itibari ile tekrar aktif hale geldi.</w:t>
      </w:r>
    </w:p>
    <w:p w:rsidR="008523E9" w:rsidRPr="008523E9" w:rsidRDefault="008523E9" w:rsidP="008523E9">
      <w:pPr>
        <w:shd w:val="clear" w:color="auto" w:fill="FDFCFA"/>
        <w:spacing w:after="24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 xml:space="preserve">Yılın ilk </w:t>
      </w:r>
      <w:proofErr w:type="spellStart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webinarı</w:t>
      </w:r>
      <w:proofErr w:type="spellEnd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</w:t>
      </w:r>
      <w:r w:rsidRPr="008523E9">
        <w:rPr>
          <w:rFonts w:ascii="Arial" w:eastAsia="Times New Roman" w:hAnsi="Arial" w:cs="Arial"/>
          <w:b/>
          <w:bCs/>
          <w:color w:val="336699"/>
          <w:sz w:val="21"/>
          <w:szCs w:val="21"/>
          <w:shd w:val="clear" w:color="auto" w:fill="FFFFFF"/>
          <w:lang w:eastAsia="tr-TR"/>
        </w:rPr>
        <w:t>15 Ocak 2025</w:t>
      </w:r>
      <w:r w:rsidRPr="008523E9">
        <w:rPr>
          <w:rFonts w:ascii="Arial" w:eastAsia="Times New Roman" w:hAnsi="Arial" w:cs="Arial"/>
          <w:b/>
          <w:bCs/>
          <w:color w:val="1F3864"/>
          <w:sz w:val="21"/>
          <w:szCs w:val="21"/>
          <w:shd w:val="clear" w:color="auto" w:fill="FFFFFF"/>
          <w:lang w:eastAsia="tr-TR"/>
        </w:rPr>
        <w:t xml:space="preserve">, </w:t>
      </w:r>
      <w:proofErr w:type="gramStart"/>
      <w:r w:rsidRPr="008523E9">
        <w:rPr>
          <w:rFonts w:ascii="Arial" w:eastAsia="Times New Roman" w:hAnsi="Arial" w:cs="Arial"/>
          <w:b/>
          <w:bCs/>
          <w:color w:val="1F3864"/>
          <w:sz w:val="21"/>
          <w:szCs w:val="21"/>
          <w:shd w:val="clear" w:color="auto" w:fill="FFFFFF"/>
          <w:lang w:eastAsia="tr-TR"/>
        </w:rPr>
        <w:t>Çarşamba</w:t>
      </w:r>
      <w:proofErr w:type="gramEnd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günü gerçekleştirilecektir.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Arial" w:eastAsia="Times New Roman" w:hAnsi="Arial" w:cs="Arial"/>
          <w:noProof/>
          <w:color w:val="1F3864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141C2B01" wp14:editId="3217EEF3">
            <wp:extent cx="685800" cy="685800"/>
            <wp:effectExtent l="0" t="0" r="0" b="0"/>
            <wp:docPr id="34" name="Resim 34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Kurumunuza bağlı araştırmacıların bu anlaşmanın detaylarını öğrenebilmeleri ve bu fırsattan faydalanabilmeleri için kurum için duyurular büyük önem taşımaktadır.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Arial" w:eastAsia="Times New Roman" w:hAnsi="Arial" w:cs="Arial"/>
          <w:noProof/>
          <w:color w:val="1F3864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17AA7ADD" wp14:editId="59B85CF0">
            <wp:extent cx="685800" cy="685800"/>
            <wp:effectExtent l="0" t="0" r="0" b="0"/>
            <wp:docPr id="35" name="Resim 35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Belirtilen link üzerinden gerekli bilgilerin girişi </w:t>
      </w:r>
      <w:r w:rsidRPr="008523E9">
        <w:rPr>
          <w:rFonts w:ascii="Arial" w:eastAsia="Times New Roman" w:hAnsi="Arial" w:cs="Arial"/>
          <w:color w:val="336699"/>
          <w:sz w:val="21"/>
          <w:szCs w:val="21"/>
          <w:shd w:val="clear" w:color="auto" w:fill="FFFFFF"/>
          <w:lang w:eastAsia="tr-TR"/>
        </w:rPr>
        <w:t>sa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ğlanarak kayıtların tamamlanması gerekmektedir.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</w:r>
      <w:r w:rsidRPr="008523E9">
        <w:rPr>
          <w:rFonts w:ascii="Arial" w:eastAsia="Times New Roman" w:hAnsi="Arial" w:cs="Arial"/>
          <w:noProof/>
          <w:color w:val="1F3864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02383E4A" wp14:editId="4881A9BA">
            <wp:extent cx="685800" cy="685800"/>
            <wp:effectExtent l="0" t="0" r="0" b="0"/>
            <wp:docPr id="36" name="Resim 36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</w:t>
      </w:r>
      <w:r w:rsidRPr="008523E9">
        <w:rPr>
          <w:rFonts w:ascii="Arial" w:eastAsia="Times New Roman" w:hAnsi="Arial" w:cs="Arial"/>
          <w:color w:val="336699"/>
          <w:sz w:val="21"/>
          <w:szCs w:val="21"/>
          <w:shd w:val="clear" w:color="auto" w:fill="FFFFFF"/>
          <w:lang w:eastAsia="tr-TR"/>
        </w:rPr>
        <w:t>15 Ocak 2025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, Çarşamba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</w:r>
      <w:r w:rsidRPr="008523E9">
        <w:rPr>
          <w:rFonts w:ascii="Arial" w:eastAsia="Times New Roman" w:hAnsi="Arial" w:cs="Arial"/>
          <w:noProof/>
          <w:color w:val="1F3864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42BA53BB" wp14:editId="1BFB529A">
            <wp:extent cx="685800" cy="685800"/>
            <wp:effectExtent l="0" t="0" r="0" b="0"/>
            <wp:docPr id="37" name="Resim 37" descr="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11.00-12.00 AM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</w:r>
      <w:r w:rsidRPr="008523E9">
        <w:rPr>
          <w:rFonts w:ascii="Arial" w:eastAsia="Times New Roman" w:hAnsi="Arial" w:cs="Arial"/>
          <w:noProof/>
          <w:color w:val="1F3864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012B0548" wp14:editId="1E669AA3">
            <wp:extent cx="685800" cy="685800"/>
            <wp:effectExtent l="0" t="0" r="0" b="0"/>
            <wp:docPr id="38" name="Resim 3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Kayıt Linki: </w:t>
      </w:r>
      <w:hyperlink r:id="rId8" w:tgtFrame="_blank" w:history="1">
        <w:r w:rsidRPr="008523E9">
          <w:rPr>
            <w:rFonts w:ascii="Calibri" w:eastAsia="Times New Roman" w:hAnsi="Calibri" w:cs="Calibri"/>
            <w:color w:val="336699"/>
            <w:sz w:val="20"/>
            <w:szCs w:val="20"/>
            <w:shd w:val="clear" w:color="auto" w:fill="BFE6FF"/>
            <w:lang w:eastAsia="tr-TR"/>
          </w:rPr>
          <w:t>https://us06web.zoom.us/webinar/register/2917344388506/WN_5YrEDXyHSP6U5oRWcVIntQ</w:t>
        </w:r>
      </w:hyperlink>
    </w:p>
    <w:p w:rsidR="008523E9" w:rsidRPr="008523E9" w:rsidRDefault="008523E9" w:rsidP="008523E9">
      <w:pPr>
        <w:shd w:val="clear" w:color="auto" w:fill="FDFCFA"/>
        <w:spacing w:after="24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Arial" w:eastAsia="Times New Roman" w:hAnsi="Arial" w:cs="Arial"/>
          <w:noProof/>
          <w:color w:val="1F3864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6A764530" wp14:editId="55261F13">
            <wp:extent cx="685800" cy="685800"/>
            <wp:effectExtent l="0" t="0" r="0" b="0"/>
            <wp:docPr id="39" name="Resim 39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</w:t>
      </w:r>
      <w:proofErr w:type="spellStart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Webinar</w:t>
      </w:r>
      <w:proofErr w:type="spellEnd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 xml:space="preserve"> Dili: Türkçe Ağırlıklı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</w:r>
      <w:r w:rsidRPr="008523E9">
        <w:rPr>
          <w:rFonts w:ascii="Arial" w:eastAsia="Times New Roman" w:hAnsi="Arial" w:cs="Arial"/>
          <w:noProof/>
          <w:color w:val="1F3864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56493ED2" wp14:editId="55898A5A">
            <wp:extent cx="685800" cy="685800"/>
            <wp:effectExtent l="0" t="0" r="0" b="0"/>
            <wp:docPr id="40" name="Resim 40" descr="👨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👨‍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 Kimler Katılmalı?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  <w:t>- Araştırmacılar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  <w:t xml:space="preserve">- </w:t>
      </w:r>
      <w:proofErr w:type="spellStart"/>
      <w:proofErr w:type="gramStart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Y.Lisans</w:t>
      </w:r>
      <w:proofErr w:type="spellEnd"/>
      <w:proofErr w:type="gramEnd"/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t>/Doktora Öğrencileri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  <w:t>- Fakülte Üyeleri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  <w:t>- Kütüphaneciler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  <w:t>- Akademik/Açık erişim yayımlama ile ilgili herkes</w:t>
      </w:r>
      <w:r w:rsidRPr="008523E9">
        <w:rPr>
          <w:rFonts w:ascii="Arial" w:eastAsia="Times New Roman" w:hAnsi="Arial" w:cs="Arial"/>
          <w:color w:val="1F3864"/>
          <w:sz w:val="21"/>
          <w:szCs w:val="21"/>
          <w:shd w:val="clear" w:color="auto" w:fill="FFFFFF"/>
          <w:lang w:eastAsia="tr-TR"/>
        </w:rPr>
        <w:br/>
      </w:r>
    </w:p>
    <w:p w:rsidR="008523E9" w:rsidRPr="008523E9" w:rsidRDefault="008523E9" w:rsidP="008523E9">
      <w:pPr>
        <w:shd w:val="clear" w:color="auto" w:fill="4472C4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</w:pPr>
      <w:proofErr w:type="spellStart"/>
      <w:r w:rsidRPr="008523E9"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  <w:lastRenderedPageBreak/>
        <w:t>Springer</w:t>
      </w:r>
      <w:proofErr w:type="spellEnd"/>
      <w:r w:rsidRPr="008523E9"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  <w:t xml:space="preserve"> Nature TÜBİTAK açık erişim anlaşması- Eğitim Webinarı-1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bookmarkStart w:id="0" w:name="m_9009335546341962187__Hlk158116385"/>
      <w:bookmarkEnd w:id="0"/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Springer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Nature ve </w:t>
      </w:r>
      <w:proofErr w:type="gram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TÜBİTAK  ULAKBIM</w:t>
      </w:r>
      <w:proofErr w:type="gram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arasında imzalanan ‘Dönüşüm Anlaşması’ (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Transformative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Agreement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, TA)  01 Ocak 2025 itibari ile tekrar aktif hale gelmiştir.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Springer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Nature ile TÜBİTAK arasındaki dönüşüm anlaşmasına (TA) 200'den fazla kurum dahil edilmiştir. Bu anlaşma kurumlara bağlı ilgili yazarların makalelerini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Springer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Nature'ın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hibrit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dergi portföyünde ücretleri karşılanarak açık erişim yayımlamaya hak kazandığı anlamına geliyor. Ayrıca, bu anlaşma ile ilgili kurumların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araştımacıları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;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Springer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,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Adis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,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Palgrave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,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Academic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Journals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ve Nature portföyündeki </w:t>
      </w:r>
      <w:proofErr w:type="gram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dergileri  içeriğine</w:t>
      </w:r>
      <w:proofErr w:type="gram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  erişim </w:t>
      </w:r>
      <w:r w:rsidRPr="008523E9">
        <w:rPr>
          <w:rFonts w:ascii="Calibri" w:eastAsia="Times New Roman" w:hAnsi="Calibri" w:cs="Calibri"/>
          <w:color w:val="336699"/>
          <w:sz w:val="21"/>
          <w:szCs w:val="21"/>
          <w:lang w:eastAsia="tr-TR"/>
        </w:rPr>
        <w:t>sa</w:t>
      </w:r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ğlayabilecektir.</w:t>
      </w:r>
    </w:p>
    <w:p w:rsidR="00DE230F" w:rsidRDefault="00DE230F" w:rsidP="008523E9">
      <w:pPr>
        <w:shd w:val="clear" w:color="auto" w:fill="4472C4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</w:pPr>
    </w:p>
    <w:p w:rsidR="008523E9" w:rsidRPr="008523E9" w:rsidRDefault="008523E9" w:rsidP="008523E9">
      <w:pPr>
        <w:shd w:val="clear" w:color="auto" w:fill="4472C4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</w:pPr>
      <w:proofErr w:type="spellStart"/>
      <w:r w:rsidRPr="008523E9"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  <w:t>Webinar</w:t>
      </w:r>
      <w:proofErr w:type="spellEnd"/>
      <w:r w:rsidRPr="008523E9"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  <w:t xml:space="preserve"> Hakkında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proofErr w:type="gram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TÜBİTAK  ULAKBİM</w:t>
      </w:r>
      <w:proofErr w:type="gram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ve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Springer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Dönüşüm Anlaşması 2025 İlk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Webinarı</w:t>
      </w:r>
      <w:proofErr w:type="spellEnd"/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proofErr w:type="gram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TÜBİTAK  ULAKBİM</w:t>
      </w:r>
      <w:proofErr w:type="gram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anlaşmasının tanıtıldığı bu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webinarda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; anlaşmaya hangi kurumların katıldığı, yazar &amp; makale tanımlama, yazarların başvuru sürecinden onay sürecine kadar takip etmesi gereken adımlar da dahil olmak üzere belirli başlıklara değinilecektir. Buna ek </w:t>
      </w:r>
      <w:proofErr w:type="gram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olarak  yazarların</w:t>
      </w:r>
      <w:proofErr w:type="gram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makalelerini yazma süreçlerine yardımcı olmak adına; iyi bir makalenin nasıl yazılacağına ilişkin ipuçları ve püf noktaları da bu özel oturuma dahil edilecektir. </w:t>
      </w:r>
      <w:proofErr w:type="spellStart"/>
      <w:r w:rsidRPr="008523E9">
        <w:rPr>
          <w:rFonts w:ascii="Calibri" w:eastAsia="Times New Roman" w:hAnsi="Calibri" w:cs="Calibri"/>
          <w:b/>
          <w:bCs/>
          <w:i/>
          <w:iCs/>
          <w:color w:val="1F3864"/>
          <w:sz w:val="21"/>
          <w:szCs w:val="21"/>
          <w:lang w:eastAsia="tr-TR"/>
        </w:rPr>
        <w:t>Webinar</w:t>
      </w:r>
      <w:proofErr w:type="spellEnd"/>
      <w:r w:rsidRPr="008523E9">
        <w:rPr>
          <w:rFonts w:ascii="Calibri" w:eastAsia="Times New Roman" w:hAnsi="Calibri" w:cs="Calibri"/>
          <w:b/>
          <w:bCs/>
          <w:i/>
          <w:iCs/>
          <w:color w:val="1F3864"/>
          <w:sz w:val="21"/>
          <w:szCs w:val="21"/>
          <w:lang w:eastAsia="tr-TR"/>
        </w:rPr>
        <w:t xml:space="preserve"> sonunda soru-cevap kısmında merak edilen ve sıkça sorulan sorular yanıtlanacaktır.</w:t>
      </w:r>
    </w:p>
    <w:p w:rsidR="00DE230F" w:rsidRDefault="00DE230F" w:rsidP="008523E9">
      <w:pPr>
        <w:shd w:val="clear" w:color="auto" w:fill="4472C4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</w:pPr>
    </w:p>
    <w:p w:rsidR="008523E9" w:rsidRPr="008523E9" w:rsidRDefault="008523E9" w:rsidP="008523E9">
      <w:pPr>
        <w:shd w:val="clear" w:color="auto" w:fill="4472C4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</w:pPr>
      <w:proofErr w:type="spellStart"/>
      <w:r w:rsidRPr="008523E9"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  <w:t>Webinar</w:t>
      </w:r>
      <w:proofErr w:type="spellEnd"/>
      <w:r w:rsidRPr="008523E9"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  <w:t xml:space="preserve"> Başlığı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Open Access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for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Türkiye-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What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you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need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to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know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,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from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how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to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publish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your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article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to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getting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funded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.</w:t>
      </w:r>
    </w:p>
    <w:p w:rsidR="00DE230F" w:rsidRDefault="00DE230F" w:rsidP="008523E9">
      <w:pPr>
        <w:shd w:val="clear" w:color="auto" w:fill="4472C4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</w:pPr>
    </w:p>
    <w:p w:rsidR="008523E9" w:rsidRPr="008523E9" w:rsidRDefault="008523E9" w:rsidP="008523E9">
      <w:pPr>
        <w:shd w:val="clear" w:color="auto" w:fill="4472C4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</w:pPr>
      <w:r w:rsidRPr="008523E9"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  <w:t>İçerik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Symbol" w:eastAsia="Times New Roman" w:hAnsi="Symbol" w:cs="Calibri"/>
          <w:color w:val="1F3864"/>
          <w:lang w:eastAsia="tr-TR"/>
        </w:rPr>
        <w:t></w:t>
      </w:r>
      <w:r w:rsidRPr="008523E9">
        <w:rPr>
          <w:rFonts w:ascii="Times New Roman" w:eastAsia="Times New Roman" w:hAnsi="Times New Roman" w:cs="Times New Roman"/>
          <w:color w:val="1F3864"/>
          <w:sz w:val="14"/>
          <w:szCs w:val="14"/>
          <w:lang w:eastAsia="tr-TR"/>
        </w:rPr>
        <w:t>         </w:t>
      </w:r>
      <w:proofErr w:type="gramStart"/>
      <w:r w:rsidRPr="008523E9">
        <w:rPr>
          <w:rFonts w:ascii="Calibri" w:eastAsia="Times New Roman" w:hAnsi="Calibri" w:cs="Calibri"/>
          <w:color w:val="1F3864"/>
          <w:lang w:eastAsia="tr-TR"/>
        </w:rPr>
        <w:t>TÜBİTAK  ULAKBIM</w:t>
      </w:r>
      <w:proofErr w:type="gram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TA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Agreement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Overview</w:t>
      </w:r>
      <w:proofErr w:type="spellEnd"/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Symbol" w:eastAsia="Times New Roman" w:hAnsi="Symbol" w:cs="Calibri"/>
          <w:color w:val="1F3864"/>
          <w:lang w:eastAsia="tr-TR"/>
        </w:rPr>
        <w:t></w:t>
      </w:r>
      <w:r w:rsidRPr="008523E9">
        <w:rPr>
          <w:rFonts w:ascii="Times New Roman" w:eastAsia="Times New Roman" w:hAnsi="Times New Roman" w:cs="Times New Roman"/>
          <w:color w:val="1F3864"/>
          <w:sz w:val="14"/>
          <w:szCs w:val="14"/>
          <w:lang w:eastAsia="tr-TR"/>
        </w:rPr>
        <w:t>         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Eligibility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criteria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>/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papers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included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in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the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agreement</w:t>
      </w:r>
      <w:proofErr w:type="spellEnd"/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Symbol" w:eastAsia="Times New Roman" w:hAnsi="Symbol" w:cs="Calibri"/>
          <w:color w:val="1F3864"/>
          <w:lang w:eastAsia="tr-TR"/>
        </w:rPr>
        <w:t></w:t>
      </w:r>
      <w:r w:rsidRPr="008523E9">
        <w:rPr>
          <w:rFonts w:ascii="Times New Roman" w:eastAsia="Times New Roman" w:hAnsi="Times New Roman" w:cs="Times New Roman"/>
          <w:color w:val="1F3864"/>
          <w:sz w:val="14"/>
          <w:szCs w:val="14"/>
          <w:lang w:eastAsia="tr-TR"/>
        </w:rPr>
        <w:t>         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Tips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and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tricks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on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writing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a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successful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paper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for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publishing</w:t>
      </w:r>
      <w:proofErr w:type="spellEnd"/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Symbol" w:eastAsia="Times New Roman" w:hAnsi="Symbol" w:cs="Calibri"/>
          <w:color w:val="1F3864"/>
          <w:lang w:eastAsia="tr-TR"/>
        </w:rPr>
        <w:t></w:t>
      </w:r>
      <w:r w:rsidRPr="008523E9">
        <w:rPr>
          <w:rFonts w:ascii="Times New Roman" w:eastAsia="Times New Roman" w:hAnsi="Times New Roman" w:cs="Times New Roman"/>
          <w:color w:val="1F3864"/>
          <w:sz w:val="14"/>
          <w:szCs w:val="14"/>
          <w:lang w:eastAsia="tr-TR"/>
        </w:rPr>
        <w:t>         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Applying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for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funding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to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publish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your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</w:t>
      </w:r>
      <w:proofErr w:type="spellStart"/>
      <w:r w:rsidRPr="008523E9">
        <w:rPr>
          <w:rFonts w:ascii="Calibri" w:eastAsia="Times New Roman" w:hAnsi="Calibri" w:cs="Calibri"/>
          <w:color w:val="1F3864"/>
          <w:lang w:eastAsia="tr-TR"/>
        </w:rPr>
        <w:t>article</w:t>
      </w:r>
      <w:proofErr w:type="spellEnd"/>
      <w:r w:rsidRPr="008523E9">
        <w:rPr>
          <w:rFonts w:ascii="Calibri" w:eastAsia="Times New Roman" w:hAnsi="Calibri" w:cs="Calibri"/>
          <w:color w:val="1F3864"/>
          <w:lang w:eastAsia="tr-TR"/>
        </w:rPr>
        <w:t xml:space="preserve"> Open Access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Symbol" w:eastAsia="Times New Roman" w:hAnsi="Symbol" w:cs="Calibri"/>
          <w:color w:val="1F3864"/>
          <w:lang w:eastAsia="tr-TR"/>
        </w:rPr>
        <w:t></w:t>
      </w:r>
      <w:r w:rsidRPr="008523E9">
        <w:rPr>
          <w:rFonts w:ascii="Times New Roman" w:eastAsia="Times New Roman" w:hAnsi="Times New Roman" w:cs="Times New Roman"/>
          <w:color w:val="1F3864"/>
          <w:sz w:val="14"/>
          <w:szCs w:val="14"/>
          <w:lang w:eastAsia="tr-TR"/>
        </w:rPr>
        <w:t>         </w:t>
      </w:r>
      <w:r w:rsidRPr="008523E9">
        <w:rPr>
          <w:rFonts w:ascii="Calibri" w:eastAsia="Times New Roman" w:hAnsi="Calibri" w:cs="Calibri"/>
          <w:color w:val="1F3864"/>
          <w:lang w:eastAsia="tr-TR"/>
        </w:rPr>
        <w:t>Q &amp; A</w:t>
      </w:r>
    </w:p>
    <w:p w:rsidR="00DE230F" w:rsidRDefault="00DE230F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1F3864"/>
          <w:sz w:val="21"/>
          <w:szCs w:val="21"/>
          <w:lang w:eastAsia="tr-TR"/>
        </w:rPr>
      </w:pPr>
    </w:p>
    <w:p w:rsidR="00DE230F" w:rsidRDefault="00DE230F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1F3864"/>
          <w:sz w:val="21"/>
          <w:szCs w:val="21"/>
          <w:lang w:eastAsia="tr-TR"/>
        </w:rPr>
      </w:pPr>
    </w:p>
    <w:p w:rsidR="00DE230F" w:rsidRDefault="00DE230F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1F3864"/>
          <w:sz w:val="21"/>
          <w:szCs w:val="21"/>
          <w:lang w:eastAsia="tr-TR"/>
        </w:rPr>
      </w:pPr>
    </w:p>
    <w:p w:rsidR="00DE230F" w:rsidRDefault="00DE230F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1F3864"/>
          <w:sz w:val="21"/>
          <w:szCs w:val="21"/>
          <w:lang w:eastAsia="tr-TR"/>
        </w:rPr>
      </w:pPr>
    </w:p>
    <w:p w:rsidR="00DE230F" w:rsidRDefault="00DE230F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1F3864"/>
          <w:sz w:val="21"/>
          <w:szCs w:val="21"/>
          <w:lang w:eastAsia="tr-TR"/>
        </w:rPr>
      </w:pPr>
    </w:p>
    <w:p w:rsidR="00DE230F" w:rsidRDefault="00DE230F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1F3864"/>
          <w:sz w:val="21"/>
          <w:szCs w:val="21"/>
          <w:lang w:eastAsia="tr-TR"/>
        </w:rPr>
      </w:pPr>
      <w:bookmarkStart w:id="1" w:name="_GoBack"/>
      <w:bookmarkEnd w:id="1"/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Webinar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Dili: Oturum ağırlıklı olarak Türkçe olacak ve birkaç bölüm İngilizce olarak ele alınacaktır.</w:t>
      </w:r>
    </w:p>
    <w:p w:rsidR="008523E9" w:rsidRPr="008523E9" w:rsidRDefault="008523E9" w:rsidP="008523E9">
      <w:pPr>
        <w:shd w:val="clear" w:color="auto" w:fill="4472C4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</w:pPr>
      <w:r w:rsidRPr="008523E9">
        <w:rPr>
          <w:rFonts w:ascii="Calibri" w:eastAsia="Times New Roman" w:hAnsi="Calibri" w:cs="Calibri"/>
          <w:b/>
          <w:bCs/>
          <w:color w:val="000000"/>
          <w:spacing w:val="15"/>
          <w:kern w:val="36"/>
          <w:sz w:val="48"/>
          <w:szCs w:val="48"/>
          <w:lang w:eastAsia="tr-TR"/>
        </w:rPr>
        <w:t>Tarih ve kayıt linki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proofErr w:type="spellStart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Zoom'da</w:t>
      </w:r>
      <w:proofErr w:type="spellEnd"/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 xml:space="preserve"> yapılması planlanan ve belirtilen tarihte web seminerine katılmak için aşağıdaki bağlantılardan kayıt olmanız gerektiğini lütfen unutmayın; kayıt olduğunuzda web seminerini takviminize ekleyebileceğiniz bir onay e-postası alacaksınız. Lütfen davetiyeyi meslektaşlarınız ve ekip üyelerinizle paylaşın ve web seminerinden yararlanabilecek herkesi davet edin.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 </w:t>
      </w:r>
    </w:p>
    <w:tbl>
      <w:tblPr>
        <w:tblW w:w="9360" w:type="dxa"/>
        <w:shd w:val="clear" w:color="auto" w:fill="FDFC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7917"/>
      </w:tblGrid>
      <w:tr w:rsidR="008523E9" w:rsidRPr="008523E9" w:rsidTr="008523E9"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E9" w:rsidRPr="008523E9" w:rsidRDefault="008523E9" w:rsidP="00852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8523E9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tr-TR"/>
              </w:rPr>
              <w:t>Webinar</w:t>
            </w:r>
            <w:proofErr w:type="spellEnd"/>
            <w:r w:rsidRPr="008523E9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tr-TR"/>
              </w:rPr>
              <w:t xml:space="preserve"> Tarihi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E9" w:rsidRPr="008523E9" w:rsidRDefault="008523E9" w:rsidP="00852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8523E9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tr-TR"/>
              </w:rPr>
              <w:t>Webinar</w:t>
            </w:r>
            <w:proofErr w:type="spellEnd"/>
            <w:r w:rsidRPr="008523E9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tr-TR"/>
              </w:rPr>
              <w:t xml:space="preserve"> Saati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E9" w:rsidRPr="008523E9" w:rsidRDefault="008523E9" w:rsidP="00852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8523E9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tr-TR"/>
              </w:rPr>
              <w:t>Kayıt Linki</w:t>
            </w:r>
          </w:p>
        </w:tc>
      </w:tr>
      <w:tr w:rsidR="008523E9" w:rsidRPr="008523E9" w:rsidTr="008523E9"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C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E9" w:rsidRPr="008523E9" w:rsidRDefault="008523E9" w:rsidP="00852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8523E9">
              <w:rPr>
                <w:rFonts w:ascii="Calibri" w:eastAsia="Times New Roman" w:hAnsi="Calibri" w:cs="Calibri"/>
                <w:color w:val="1F3864"/>
                <w:sz w:val="21"/>
                <w:szCs w:val="21"/>
                <w:lang w:eastAsia="tr-TR"/>
              </w:rPr>
              <w:t>15 Ocak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C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E9" w:rsidRPr="008523E9" w:rsidRDefault="008523E9" w:rsidP="00852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8523E9">
              <w:rPr>
                <w:rFonts w:ascii="Calibri" w:eastAsia="Times New Roman" w:hAnsi="Calibri" w:cs="Calibri"/>
                <w:color w:val="1F3864"/>
                <w:sz w:val="21"/>
                <w:szCs w:val="21"/>
                <w:lang w:eastAsia="tr-TR"/>
              </w:rPr>
              <w:t>11.00 – 12.00 AM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C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E9" w:rsidRPr="008523E9" w:rsidRDefault="00DE230F" w:rsidP="00852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hyperlink r:id="rId11" w:tgtFrame="_blank" w:history="1">
              <w:r w:rsidR="008523E9" w:rsidRPr="008523E9">
                <w:rPr>
                  <w:rFonts w:ascii="Calibri" w:eastAsia="Times New Roman" w:hAnsi="Calibri" w:cs="Calibri"/>
                  <w:color w:val="336699"/>
                  <w:sz w:val="20"/>
                  <w:szCs w:val="20"/>
                  <w:lang w:eastAsia="tr-TR"/>
                </w:rPr>
                <w:t>https://us06web.zoom.us/webinar/register/2917344388506/WN_5YrEDXyHSP6U5oRWcVIntQ</w:t>
              </w:r>
            </w:hyperlink>
          </w:p>
          <w:p w:rsidR="008523E9" w:rsidRPr="008523E9" w:rsidRDefault="008523E9" w:rsidP="00852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8523E9">
              <w:rPr>
                <w:rFonts w:ascii="Calibri" w:eastAsia="Times New Roman" w:hAnsi="Calibri" w:cs="Calibri"/>
                <w:color w:val="1F3864"/>
                <w:sz w:val="21"/>
                <w:szCs w:val="21"/>
                <w:lang w:eastAsia="tr-TR"/>
              </w:rPr>
              <w:t> </w:t>
            </w:r>
          </w:p>
        </w:tc>
      </w:tr>
    </w:tbl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 </w:t>
      </w: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</w:p>
    <w:p w:rsidR="008523E9" w:rsidRPr="008523E9" w:rsidRDefault="008523E9" w:rsidP="008523E9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8523E9">
        <w:rPr>
          <w:rFonts w:ascii="Calibri" w:eastAsia="Times New Roman" w:hAnsi="Calibri" w:cs="Calibri"/>
          <w:color w:val="1F3864"/>
          <w:sz w:val="21"/>
          <w:szCs w:val="21"/>
          <w:lang w:eastAsia="tr-TR"/>
        </w:rPr>
        <w:t>Bilgilerinize saygılarımla</w:t>
      </w:r>
    </w:p>
    <w:sectPr w:rsidR="008523E9" w:rsidRPr="0085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0C"/>
    <w:rsid w:val="008523E9"/>
    <w:rsid w:val="00DE230F"/>
    <w:rsid w:val="00E61091"/>
    <w:rsid w:val="00E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FA53"/>
  <w15:chartTrackingRefBased/>
  <w15:docId w15:val="{B2B8AF95-9400-49F3-B7FA-5F2CB512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23E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2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6785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  <w:div w:id="522323682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  <w:div w:id="665985600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  <w:div w:id="1910309227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  <w:div w:id="9718703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</w:divsChild>
        </w:div>
      </w:divsChild>
    </w:div>
    <w:div w:id="1765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3435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  <w:div w:id="392434712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  <w:div w:id="1775587043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  <w:div w:id="1806703367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  <w:div w:id="1613780156">
              <w:marLeft w:val="0"/>
              <w:marRight w:val="0"/>
              <w:marTop w:val="0"/>
              <w:marBottom w:val="0"/>
              <w:divBdr>
                <w:top w:val="single" w:sz="24" w:space="0" w:color="4472C4"/>
                <w:left w:val="single" w:sz="24" w:space="0" w:color="4472C4"/>
                <w:bottom w:val="single" w:sz="24" w:space="0" w:color="4472C4"/>
                <w:right w:val="single" w:sz="24" w:space="0" w:color="4472C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ebinar/register/2917344388506/WN_5YrEDXyHSP6U5oRWcVInt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us06web.zoom.us/webinar/register/2917344388506/WN_5YrEDXyHSP6U5oRWcVIntQ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BİLGİN KAYALIK</dc:creator>
  <cp:keywords/>
  <dc:description/>
  <cp:lastModifiedBy>DUYGU BİLGİN KAYALIK</cp:lastModifiedBy>
  <cp:revision>2</cp:revision>
  <dcterms:created xsi:type="dcterms:W3CDTF">2025-01-06T07:07:00Z</dcterms:created>
  <dcterms:modified xsi:type="dcterms:W3CDTF">2025-01-06T07:32:00Z</dcterms:modified>
</cp:coreProperties>
</file>